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60B1FCFD" w:rsidR="00F00E0C" w:rsidRDefault="00CE1B8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Febr</w:t>
            </w:r>
            <w:r w:rsidR="00E5795A">
              <w:rPr>
                <w:rFonts w:ascii="Arial"/>
                <w:sz w:val="18"/>
              </w:rPr>
              <w:t xml:space="preserve">uary </w:t>
            </w:r>
            <w:r>
              <w:rPr>
                <w:rFonts w:ascii="Arial"/>
                <w:sz w:val="18"/>
              </w:rPr>
              <w:t>5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C70CF63" w:rsidR="00F00E0C" w:rsidRDefault="00FD509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Douglas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7778B8EF" w:rsidR="00F00E0C" w:rsidRDefault="008A0761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East Fork Justice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2D725767" w:rsidR="00F00E0C" w:rsidRDefault="008A0761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Laurie Trotter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183F0539" w:rsidR="001628B1" w:rsidRPr="00FD5090" w:rsidRDefault="009F1F0C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Mary Brown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1CB1D768" w:rsidR="00F00E0C" w:rsidRPr="00FD509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F42F2A">
              <w:rPr>
                <w:rFonts w:ascii="Arial" w:hAnsi="Arial" w:cs="Arial"/>
                <w:sz w:val="18"/>
              </w:rPr>
              <w:t>William Murphy</w:t>
            </w:r>
            <w:r w:rsidR="0008620E">
              <w:rPr>
                <w:rFonts w:ascii="Arial" w:hAnsi="Arial" w:cs="Arial"/>
                <w:sz w:val="18"/>
              </w:rPr>
              <w:t xml:space="preserve"> and Heidi Remick</w:t>
            </w:r>
          </w:p>
          <w:p w14:paraId="2F52D5C6" w14:textId="3F8C89F8" w:rsidR="001628B1" w:rsidRPr="00FD5090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EE5E9B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F42F2A">
              <w:rPr>
                <w:color w:val="231F20"/>
                <w:sz w:val="21"/>
                <w:highlight w:val="yellow"/>
              </w:rPr>
              <w:t>In</w:t>
            </w:r>
            <w:r w:rsidRPr="00F42F2A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F42F2A">
              <w:rPr>
                <w:color w:val="231F20"/>
                <w:sz w:val="21"/>
                <w:highlight w:val="yellow"/>
              </w:rPr>
              <w:t>Person</w:t>
            </w:r>
            <w:r w:rsidRPr="00EE5E9B">
              <w:rPr>
                <w:color w:val="231F20"/>
                <w:spacing w:val="3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Virtual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EE5E9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Number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of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2D9FF9B7" w:rsidR="00F00E0C" w:rsidRPr="00EE5E9B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EE5E9B">
              <w:rPr>
                <w:rFonts w:ascii="Arial" w:hAnsi="Arial" w:cs="Arial"/>
                <w:sz w:val="18"/>
              </w:rPr>
              <w:t xml:space="preserve"> </w:t>
            </w:r>
            <w:r w:rsidR="00C97DE9">
              <w:rPr>
                <w:rFonts w:ascii="Arial" w:hAnsi="Arial" w:cs="Arial"/>
                <w:sz w:val="18"/>
              </w:rPr>
              <w:t>9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EE5E9B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B41FCA">
              <w:rPr>
                <w:color w:val="231F20"/>
                <w:sz w:val="21"/>
              </w:rPr>
              <w:t>In</w:t>
            </w:r>
            <w:r w:rsidRPr="00B41FCA">
              <w:rPr>
                <w:color w:val="231F20"/>
                <w:spacing w:val="1"/>
                <w:sz w:val="21"/>
              </w:rPr>
              <w:t xml:space="preserve"> </w:t>
            </w:r>
            <w:r w:rsidRPr="00B41FCA">
              <w:rPr>
                <w:color w:val="231F20"/>
                <w:sz w:val="21"/>
              </w:rPr>
              <w:t>Person</w:t>
            </w:r>
            <w:r w:rsidRPr="00EE5E9B">
              <w:rPr>
                <w:color w:val="231F20"/>
                <w:spacing w:val="5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Virtual</w:t>
            </w:r>
            <w:r w:rsidRPr="00EE5E9B">
              <w:rPr>
                <w:color w:val="231F20"/>
                <w:spacing w:val="5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EE5E9B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EE5E9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Custodial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EE5E9B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E5795A">
              <w:rPr>
                <w:color w:val="231F20"/>
                <w:sz w:val="21"/>
              </w:rPr>
              <w:t>IC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8A3969">
              <w:rPr>
                <w:color w:val="231F20"/>
                <w:sz w:val="21"/>
              </w:rPr>
              <w:t>OOC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2"/>
                <w:sz w:val="21"/>
              </w:rPr>
              <w:t xml:space="preserve"> </w:t>
            </w:r>
            <w:r w:rsidRPr="00F42F2A">
              <w:rPr>
                <w:color w:val="231F20"/>
                <w:spacing w:val="-2"/>
                <w:sz w:val="21"/>
                <w:highlight w:val="yellow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62183903" w:rsidR="00D54894" w:rsidRPr="00EE5E9B" w:rsidRDefault="00F42F2A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4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EE5E9B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0D01A0A8" w:rsidR="00D54894" w:rsidRPr="00EE5E9B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 xml:space="preserve"> </w:t>
            </w:r>
            <w:r w:rsidR="00C97DE9">
              <w:rPr>
                <w:color w:val="231F20"/>
                <w:sz w:val="21"/>
              </w:rPr>
              <w:t>5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0476C369" w:rsidR="00D54894" w:rsidRPr="00EE5E9B" w:rsidRDefault="009528FF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5B334592" w:rsidR="00D54894" w:rsidRPr="00EE5E9B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 xml:space="preserve"> </w:t>
            </w:r>
            <w:r w:rsidR="009528FF">
              <w:rPr>
                <w:color w:val="231F20"/>
                <w:sz w:val="21"/>
              </w:rPr>
              <w:t>4</w:t>
            </w:r>
          </w:p>
        </w:tc>
      </w:tr>
      <w:tr w:rsidR="00F00E0C" w:rsidRPr="00EE5E9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1B71DCDB" w:rsidR="00F00E0C" w:rsidRPr="00EE5E9B" w:rsidRDefault="0008620E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 Status hearings, Sentencing hearings, Alternative Sentencing Violation hearings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EE5E9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t>Attorney's</w:t>
            </w:r>
            <w:r w:rsidRPr="00EE5E9B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EE5E9B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proofErr w:type="gramStart"/>
            <w:r w:rsidRPr="00EE5E9B">
              <w:rPr>
                <w:color w:val="231F20"/>
                <w:sz w:val="21"/>
              </w:rPr>
              <w:t>for</w:t>
            </w:r>
            <w:proofErr w:type="gramEnd"/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E5795A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F42F2A">
              <w:rPr>
                <w:color w:val="231F20"/>
                <w:sz w:val="21"/>
                <w:highlight w:val="yellow"/>
              </w:rPr>
              <w:t>Yes</w:t>
            </w:r>
            <w:r w:rsidRPr="00E5795A">
              <w:rPr>
                <w:color w:val="231F20"/>
                <w:spacing w:val="50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No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E5795A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F42F2A">
              <w:rPr>
                <w:color w:val="231F20"/>
                <w:sz w:val="21"/>
                <w:highlight w:val="yellow"/>
              </w:rPr>
              <w:t>Yes</w:t>
            </w:r>
            <w:r w:rsidRPr="00E5795A">
              <w:rPr>
                <w:color w:val="231F20"/>
                <w:spacing w:val="50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No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EE5E9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substantive,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confidential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meeting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EE5E9B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each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before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E5795A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42F2A">
              <w:rPr>
                <w:color w:val="231F20"/>
                <w:sz w:val="21"/>
                <w:highlight w:val="yellow"/>
              </w:rPr>
              <w:t>Yes</w:t>
            </w:r>
            <w:r w:rsidRPr="00E5795A">
              <w:rPr>
                <w:color w:val="231F20"/>
                <w:spacing w:val="50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No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prepared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handle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their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clients'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E5795A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F42F2A">
              <w:rPr>
                <w:color w:val="231F20"/>
                <w:sz w:val="21"/>
                <w:highlight w:val="yellow"/>
              </w:rPr>
              <w:t>Yes</w:t>
            </w:r>
            <w:r w:rsidRPr="00E5795A">
              <w:rPr>
                <w:color w:val="231F20"/>
                <w:spacing w:val="50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No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E5795A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E5795A">
              <w:rPr>
                <w:b/>
                <w:bCs/>
                <w:color w:val="231F20"/>
                <w:sz w:val="21"/>
              </w:rPr>
              <w:t>How</w:t>
            </w:r>
            <w:r w:rsidRPr="00E5795A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E5795A">
              <w:rPr>
                <w:b/>
                <w:bCs/>
                <w:color w:val="231F20"/>
                <w:sz w:val="21"/>
              </w:rPr>
              <w:t>prepared</w:t>
            </w:r>
            <w:r w:rsidRPr="00E5795A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E5795A">
              <w:rPr>
                <w:b/>
                <w:bCs/>
                <w:color w:val="231F20"/>
                <w:sz w:val="21"/>
              </w:rPr>
              <w:t>did</w:t>
            </w:r>
            <w:r w:rsidRPr="00E5795A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E5795A">
              <w:rPr>
                <w:b/>
                <w:bCs/>
                <w:color w:val="231F20"/>
                <w:sz w:val="21"/>
              </w:rPr>
              <w:t>the</w:t>
            </w:r>
            <w:r w:rsidRPr="00E5795A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5795A">
              <w:rPr>
                <w:b/>
                <w:bCs/>
                <w:color w:val="231F20"/>
                <w:sz w:val="21"/>
              </w:rPr>
              <w:t>Attorney</w:t>
            </w:r>
            <w:r w:rsidRPr="00E5795A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5795A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637CD22F" w:rsidR="00A862BA" w:rsidRPr="00E5795A" w:rsidRDefault="009F1F0C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Mary</w:t>
            </w:r>
            <w:r w:rsidR="00C24E55">
              <w:rPr>
                <w:sz w:val="21"/>
              </w:rPr>
              <w:t xml:space="preserve"> </w:t>
            </w:r>
            <w:r w:rsidR="00081921" w:rsidRPr="00E5795A">
              <w:rPr>
                <w:sz w:val="21"/>
              </w:rPr>
              <w:t>appear</w:t>
            </w:r>
            <w:r w:rsidR="00B41FCA" w:rsidRPr="00E5795A">
              <w:rPr>
                <w:sz w:val="21"/>
              </w:rPr>
              <w:t>ed</w:t>
            </w:r>
            <w:r w:rsidR="00081921" w:rsidRPr="00E5795A">
              <w:rPr>
                <w:sz w:val="21"/>
              </w:rPr>
              <w:t xml:space="preserve"> prepared for </w:t>
            </w:r>
            <w:r w:rsidR="000F37F2" w:rsidRPr="00E5795A">
              <w:rPr>
                <w:sz w:val="21"/>
              </w:rPr>
              <w:t>court</w:t>
            </w:r>
            <w:r w:rsidR="00A862BA" w:rsidRPr="00E5795A">
              <w:rPr>
                <w:sz w:val="21"/>
              </w:rPr>
              <w:t xml:space="preserve">. </w:t>
            </w:r>
          </w:p>
        </w:tc>
      </w:tr>
      <w:tr w:rsidR="00F00E0C" w:rsidRPr="00EE5E9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EE5E9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How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EE5E9B">
              <w:rPr>
                <w:b/>
                <w:bCs/>
                <w:color w:val="231F20"/>
                <w:sz w:val="21"/>
              </w:rPr>
              <w:t>knowledgeable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was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the</w:t>
            </w:r>
            <w:r w:rsidRPr="00EE5E9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Attorney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about</w:t>
            </w:r>
            <w:r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their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282ADDB0" w:rsidR="0008100F" w:rsidRPr="00EE5E9B" w:rsidRDefault="009F1F0C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Mary</w:t>
            </w:r>
            <w:r w:rsidR="001628B1" w:rsidRPr="00EE5E9B">
              <w:rPr>
                <w:sz w:val="21"/>
              </w:rPr>
              <w:t xml:space="preserve"> appear</w:t>
            </w:r>
            <w:r w:rsidR="00B41FCA">
              <w:rPr>
                <w:sz w:val="21"/>
              </w:rPr>
              <w:t>ed</w:t>
            </w:r>
            <w:r w:rsidR="001628B1" w:rsidRPr="00EE5E9B">
              <w:rPr>
                <w:sz w:val="21"/>
              </w:rPr>
              <w:t xml:space="preserve"> to </w:t>
            </w:r>
            <w:r w:rsidR="00FD5090" w:rsidRPr="00EE5E9B">
              <w:rPr>
                <w:sz w:val="21"/>
              </w:rPr>
              <w:t xml:space="preserve">be </w:t>
            </w:r>
            <w:r w:rsidR="001628B1" w:rsidRPr="00EE5E9B">
              <w:rPr>
                <w:sz w:val="21"/>
              </w:rPr>
              <w:t>know</w:t>
            </w:r>
            <w:r w:rsidR="009B6950" w:rsidRPr="00EE5E9B">
              <w:rPr>
                <w:sz w:val="21"/>
              </w:rPr>
              <w:t>ledgeable about</w:t>
            </w:r>
            <w:r w:rsidR="001628B1" w:rsidRPr="00EE5E9B">
              <w:rPr>
                <w:sz w:val="21"/>
              </w:rPr>
              <w:t xml:space="preserve"> h</w:t>
            </w:r>
            <w:r w:rsidR="00F42F2A">
              <w:rPr>
                <w:sz w:val="21"/>
              </w:rPr>
              <w:t>er</w:t>
            </w:r>
            <w:r w:rsidR="001628B1" w:rsidRPr="00EE5E9B">
              <w:rPr>
                <w:sz w:val="21"/>
              </w:rPr>
              <w:t xml:space="preserve"> case</w:t>
            </w:r>
            <w:r w:rsidR="00F42F2A">
              <w:rPr>
                <w:sz w:val="21"/>
              </w:rPr>
              <w:t>s</w:t>
            </w:r>
            <w:r w:rsidR="009B6950" w:rsidRPr="00EE5E9B">
              <w:rPr>
                <w:sz w:val="21"/>
              </w:rPr>
              <w:t xml:space="preserve">. </w:t>
            </w:r>
          </w:p>
        </w:tc>
      </w:tr>
      <w:tr w:rsidR="00F00E0C" w:rsidRPr="00EE5E9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EE5E9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The</w:t>
            </w:r>
            <w:r w:rsidRPr="00EE5E9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Attorney's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courtroom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advocacy</w:t>
            </w:r>
            <w:r w:rsidRPr="00EE5E9B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skills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EE5E9B" w:rsidRDefault="000F37F2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Good</w:t>
            </w:r>
            <w:r w:rsidR="001628B1" w:rsidRPr="00EE5E9B">
              <w:rPr>
                <w:sz w:val="21"/>
              </w:rPr>
              <w:t>.</w:t>
            </w:r>
          </w:p>
        </w:tc>
      </w:tr>
      <w:tr w:rsidR="00F00E0C" w:rsidRPr="00EE5E9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EE5E9B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H</w:t>
            </w:r>
            <w:r w:rsidR="003B010C" w:rsidRPr="00EE5E9B">
              <w:rPr>
                <w:b/>
                <w:bCs/>
                <w:color w:val="231F20"/>
                <w:sz w:val="21"/>
              </w:rPr>
              <w:t>ow</w:t>
            </w:r>
            <w:r w:rsidR="003B010C"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z w:val="21"/>
              </w:rPr>
              <w:t>was</w:t>
            </w:r>
            <w:r w:rsidR="003B010C"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z w:val="21"/>
              </w:rPr>
              <w:t>the</w:t>
            </w:r>
            <w:r w:rsidR="003B010C" w:rsidRPr="00EE5E9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BC759F0" w:rsidR="0008100F" w:rsidRPr="00EE5E9B" w:rsidRDefault="008A3969" w:rsidP="007B75CA">
            <w:pPr>
              <w:pStyle w:val="TableParagraph"/>
              <w:spacing w:before="6"/>
              <w:rPr>
                <w:sz w:val="21"/>
              </w:rPr>
            </w:pPr>
            <w:r>
              <w:rPr>
                <w:sz w:val="21"/>
              </w:rPr>
              <w:t>T</w:t>
            </w:r>
            <w:r w:rsidR="001628B1" w:rsidRPr="00EE5E9B">
              <w:rPr>
                <w:sz w:val="21"/>
              </w:rPr>
              <w:t xml:space="preserve">he attorney-client communication </w:t>
            </w:r>
            <w:r>
              <w:rPr>
                <w:sz w:val="21"/>
              </w:rPr>
              <w:t>appeared to be good</w:t>
            </w:r>
            <w:r w:rsidR="00B41FCA">
              <w:rPr>
                <w:sz w:val="21"/>
              </w:rPr>
              <w:t xml:space="preserve">. </w:t>
            </w:r>
          </w:p>
        </w:tc>
      </w:tr>
      <w:tr w:rsidR="00F00E0C" w:rsidRPr="00EE5E9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EE5E9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t>Case</w:t>
            </w:r>
            <w:r w:rsidRPr="00EE5E9B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b/>
                <w:color w:val="231F20"/>
                <w:sz w:val="21"/>
              </w:rPr>
              <w:t>Stage-Specific</w:t>
            </w:r>
            <w:r w:rsidRPr="00EE5E9B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EE5E9B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argue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pretrial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release/OR,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reasonable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E5795A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9528FF">
              <w:rPr>
                <w:color w:val="231F20"/>
                <w:sz w:val="21"/>
                <w:highlight w:val="yellow"/>
              </w:rPr>
              <w:t>Yes</w:t>
            </w:r>
            <w:r w:rsidRPr="00E5795A">
              <w:rPr>
                <w:color w:val="231F20"/>
                <w:spacing w:val="50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No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counsel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each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refrain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from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waiving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trial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rights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until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completed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investigation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of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E5795A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5795A">
              <w:rPr>
                <w:color w:val="231F20"/>
                <w:sz w:val="21"/>
              </w:rPr>
              <w:t>Yes</w:t>
            </w:r>
            <w:r w:rsidRPr="00E5795A">
              <w:rPr>
                <w:color w:val="231F20"/>
                <w:spacing w:val="50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No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9528FF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counseled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refrain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from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proofErr w:type="gramStart"/>
            <w:r w:rsidRPr="00EE5E9B">
              <w:rPr>
                <w:color w:val="231F20"/>
                <w:sz w:val="21"/>
              </w:rPr>
              <w:t>waiving</w:t>
            </w:r>
            <w:proofErr w:type="gramEnd"/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rights</w:t>
            </w:r>
            <w:r w:rsidRPr="00EE5E9B">
              <w:rPr>
                <w:color w:val="231F20"/>
                <w:spacing w:val="3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5D2B7183" w:rsidR="00F00E0C" w:rsidRPr="00E5795A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5795A">
              <w:rPr>
                <w:color w:val="231F20"/>
                <w:sz w:val="21"/>
              </w:rPr>
              <w:t>Yes</w:t>
            </w:r>
            <w:r w:rsidRPr="00E5795A">
              <w:rPr>
                <w:color w:val="231F20"/>
                <w:spacing w:val="50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No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="009528FF" w:rsidRPr="009528FF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adequately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advise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clients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of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EE5E9B">
              <w:rPr>
                <w:color w:val="231F20"/>
                <w:sz w:val="21"/>
              </w:rPr>
              <w:t>Consequ</w:t>
            </w:r>
            <w:r w:rsidR="003A61FE">
              <w:rPr>
                <w:color w:val="231F20"/>
                <w:sz w:val="21"/>
              </w:rPr>
              <w:t>ence</w:t>
            </w:r>
            <w:r w:rsidR="003A61FE" w:rsidRPr="00EE5E9B">
              <w:rPr>
                <w:color w:val="231F20"/>
                <w:sz w:val="21"/>
              </w:rPr>
              <w:t>s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accepting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plea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going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trial,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including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any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collateral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EE5E9B">
              <w:rPr>
                <w:color w:val="231F20"/>
                <w:spacing w:val="-2"/>
                <w:sz w:val="21"/>
              </w:rPr>
              <w:t>consequ</w:t>
            </w:r>
            <w:r w:rsidR="003A61FE">
              <w:rPr>
                <w:color w:val="231F20"/>
                <w:spacing w:val="-2"/>
                <w:sz w:val="21"/>
              </w:rPr>
              <w:t>ence</w:t>
            </w:r>
            <w:r w:rsidR="003A61FE" w:rsidRPr="00EE5E9B">
              <w:rPr>
                <w:color w:val="231F20"/>
                <w:spacing w:val="-2"/>
                <w:sz w:val="21"/>
              </w:rPr>
              <w:t>s</w:t>
            </w:r>
            <w:r w:rsidRPr="00EE5E9B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E5795A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528FF">
              <w:rPr>
                <w:color w:val="231F20"/>
                <w:sz w:val="21"/>
                <w:highlight w:val="yellow"/>
              </w:rPr>
              <w:t>Yes</w:t>
            </w:r>
            <w:r w:rsidRPr="00E5795A">
              <w:rPr>
                <w:color w:val="231F20"/>
                <w:spacing w:val="50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E5795A">
              <w:rPr>
                <w:color w:val="231F20"/>
                <w:sz w:val="21"/>
              </w:rPr>
              <w:t>No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E5795A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present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mitigating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EE5E9B">
              <w:rPr>
                <w:color w:val="231F20"/>
                <w:sz w:val="21"/>
              </w:rPr>
              <w:t>evid</w:t>
            </w:r>
            <w:r w:rsidR="003A61FE">
              <w:rPr>
                <w:color w:val="231F20"/>
                <w:sz w:val="21"/>
              </w:rPr>
              <w:t>ence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and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provide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argument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E5795A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528FF">
              <w:rPr>
                <w:color w:val="231F20"/>
                <w:sz w:val="21"/>
                <w:highlight w:val="yellow"/>
              </w:rPr>
              <w:t>Yes</w:t>
            </w:r>
            <w:r w:rsidRPr="00E5795A">
              <w:rPr>
                <w:color w:val="231F20"/>
                <w:spacing w:val="50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No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address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EE5E9B">
              <w:rPr>
                <w:color w:val="231F20"/>
                <w:sz w:val="21"/>
              </w:rPr>
              <w:t>Present</w:t>
            </w:r>
            <w:r w:rsidR="003A61FE">
              <w:rPr>
                <w:color w:val="231F20"/>
                <w:sz w:val="21"/>
              </w:rPr>
              <w:t>ence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Investigation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Report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(PSI)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Psychosexual</w:t>
            </w:r>
            <w:r w:rsidRPr="00EE5E9B">
              <w:rPr>
                <w:color w:val="231F20"/>
                <w:spacing w:val="1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Evaluation/Risk</w:t>
            </w:r>
            <w:r w:rsidRPr="00EE5E9B">
              <w:rPr>
                <w:color w:val="231F20"/>
                <w:spacing w:val="1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Assessment</w:t>
            </w:r>
            <w:r w:rsidRPr="00EE5E9B">
              <w:rPr>
                <w:color w:val="231F20"/>
                <w:spacing w:val="14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E5795A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5795A">
              <w:rPr>
                <w:color w:val="231F20"/>
                <w:sz w:val="21"/>
              </w:rPr>
              <w:t>Yes</w:t>
            </w:r>
            <w:r w:rsidRPr="00E5795A">
              <w:rPr>
                <w:color w:val="231F20"/>
                <w:spacing w:val="50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No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9528FF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court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require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defendant(s)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reimburse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entity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E5795A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5795A">
              <w:rPr>
                <w:color w:val="231F20"/>
                <w:sz w:val="21"/>
              </w:rPr>
              <w:t>Yes</w:t>
            </w:r>
            <w:r w:rsidRPr="00E5795A">
              <w:rPr>
                <w:color w:val="231F20"/>
                <w:spacing w:val="50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9528FF">
              <w:rPr>
                <w:color w:val="231F20"/>
                <w:sz w:val="21"/>
                <w:highlight w:val="yellow"/>
              </w:rPr>
              <w:t>No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z w:val="21"/>
              </w:rPr>
              <w:t>/</w:t>
            </w:r>
            <w:r w:rsidRPr="00E5795A">
              <w:rPr>
                <w:color w:val="231F20"/>
                <w:spacing w:val="51"/>
                <w:sz w:val="21"/>
              </w:rPr>
              <w:t xml:space="preserve"> </w:t>
            </w:r>
            <w:r w:rsidRPr="00E5795A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EE5E9B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t>Overall</w:t>
            </w:r>
            <w:r w:rsidRPr="00EE5E9B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sustainable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EE5E9B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0F37F2">
              <w:rPr>
                <w:color w:val="231F20"/>
                <w:sz w:val="21"/>
                <w:highlight w:val="yellow"/>
              </w:rPr>
              <w:t>Yes</w:t>
            </w:r>
            <w:r w:rsidRPr="00EE5E9B">
              <w:rPr>
                <w:color w:val="231F20"/>
                <w:spacing w:val="5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No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EE5E9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Overall,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be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providing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effective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representation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EE5E9B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their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EE5E9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0F37F2">
              <w:rPr>
                <w:color w:val="231F20"/>
                <w:sz w:val="21"/>
                <w:highlight w:val="yellow"/>
              </w:rPr>
              <w:t>Yes</w:t>
            </w:r>
            <w:r w:rsidRPr="00EE5E9B">
              <w:rPr>
                <w:color w:val="231F20"/>
                <w:spacing w:val="5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No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EE5E9B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>
              <w:rPr>
                <w:b/>
                <w:color w:val="231F20"/>
                <w:spacing w:val="18"/>
                <w:sz w:val="21"/>
              </w:rPr>
              <w:t>:</w:t>
            </w:r>
          </w:p>
          <w:p w14:paraId="74E0B3CB" w14:textId="77777777" w:rsidR="0008620E" w:rsidRDefault="009F1F0C" w:rsidP="00054A21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Mary</w:t>
            </w:r>
            <w:r w:rsidR="0008620E">
              <w:rPr>
                <w:b w:val="0"/>
              </w:rPr>
              <w:t xml:space="preserve"> had 11 </w:t>
            </w:r>
            <w:r w:rsidR="002A452E">
              <w:rPr>
                <w:b w:val="0"/>
              </w:rPr>
              <w:t>client</w:t>
            </w:r>
            <w:r w:rsidR="0008620E">
              <w:rPr>
                <w:b w:val="0"/>
              </w:rPr>
              <w:t>s on today’s calendar:</w:t>
            </w:r>
          </w:p>
          <w:p w14:paraId="2A284F1E" w14:textId="21C00483" w:rsidR="00644B99" w:rsidRDefault="0008620E" w:rsidP="0008620E">
            <w:pPr>
              <w:pStyle w:val="BodyText"/>
              <w:numPr>
                <w:ilvl w:val="0"/>
                <w:numId w:val="3"/>
              </w:numPr>
              <w:rPr>
                <w:b w:val="0"/>
              </w:rPr>
            </w:pPr>
            <w:r w:rsidRPr="00917BEB">
              <w:rPr>
                <w:b w:val="0"/>
                <w:u w:val="single"/>
              </w:rPr>
              <w:t>Mary’s first client</w:t>
            </w:r>
            <w:r>
              <w:rPr>
                <w:b w:val="0"/>
              </w:rPr>
              <w:t xml:space="preserve"> was found Not Competent by the examiners</w:t>
            </w:r>
            <w:r w:rsidR="002A452E">
              <w:rPr>
                <w:b w:val="0"/>
              </w:rPr>
              <w:t xml:space="preserve"> </w:t>
            </w:r>
            <w:r>
              <w:rPr>
                <w:b w:val="0"/>
              </w:rPr>
              <w:t xml:space="preserve">with no prospect of being restored to competency. The criminal complaint and charges were dismissed. The State requested the court </w:t>
            </w:r>
            <w:proofErr w:type="spellStart"/>
            <w:r>
              <w:rPr>
                <w:b w:val="0"/>
              </w:rPr>
              <w:t>ot</w:t>
            </w:r>
            <w:proofErr w:type="spellEnd"/>
            <w:r>
              <w:rPr>
                <w:b w:val="0"/>
              </w:rPr>
              <w:t xml:space="preserve"> order the client to remain in custody </w:t>
            </w:r>
            <w:proofErr w:type="gramStart"/>
            <w:r>
              <w:rPr>
                <w:b w:val="0"/>
              </w:rPr>
              <w:t>of to</w:t>
            </w:r>
            <w:proofErr w:type="gramEnd"/>
            <w:r>
              <w:rPr>
                <w:b w:val="0"/>
              </w:rPr>
              <w:t xml:space="preserve"> 10 days for the State to file civil commitment proceedings. Mary opposed that request. The court ordered the client to remain in custody up to 10 additional days.</w:t>
            </w:r>
          </w:p>
          <w:p w14:paraId="214807F2" w14:textId="77777777" w:rsidR="004549DC" w:rsidRDefault="007471B5" w:rsidP="0008620E">
            <w:pPr>
              <w:pStyle w:val="BodyText"/>
              <w:numPr>
                <w:ilvl w:val="0"/>
                <w:numId w:val="3"/>
              </w:numPr>
              <w:rPr>
                <w:b w:val="0"/>
              </w:rPr>
            </w:pPr>
            <w:r w:rsidRPr="00917BEB">
              <w:rPr>
                <w:b w:val="0"/>
                <w:u w:val="single"/>
              </w:rPr>
              <w:t>Mary’s second client</w:t>
            </w:r>
            <w:r>
              <w:rPr>
                <w:b w:val="0"/>
              </w:rPr>
              <w:t xml:space="preserve"> was in custody and set for sentencing today on a DUI-2</w:t>
            </w:r>
            <w:r w:rsidRPr="007471B5">
              <w:rPr>
                <w:b w:val="0"/>
                <w:vertAlign w:val="superscript"/>
              </w:rPr>
              <w:t>nd</w:t>
            </w:r>
            <w:r>
              <w:rPr>
                <w:b w:val="0"/>
              </w:rPr>
              <w:t xml:space="preserve"> offense and misdemeanor Eluding a Police Officer. </w:t>
            </w:r>
            <w:r w:rsidR="004549DC">
              <w:rPr>
                <w:b w:val="0"/>
              </w:rPr>
              <w:t xml:space="preserve">The client had been arrested on an allegation </w:t>
            </w:r>
            <w:proofErr w:type="spellStart"/>
            <w:proofErr w:type="gramStart"/>
            <w:r w:rsidR="004549DC">
              <w:rPr>
                <w:b w:val="0"/>
              </w:rPr>
              <w:t>hat</w:t>
            </w:r>
            <w:proofErr w:type="spellEnd"/>
            <w:proofErr w:type="gramEnd"/>
            <w:r w:rsidR="004549DC">
              <w:rPr>
                <w:b w:val="0"/>
              </w:rPr>
              <w:t xml:space="preserve"> he violated the terms of his release. The client admitted violating the conditions of release. </w:t>
            </w:r>
          </w:p>
          <w:p w14:paraId="50A685F3" w14:textId="77777777" w:rsidR="004549DC" w:rsidRDefault="004549DC" w:rsidP="004549DC">
            <w:pPr>
              <w:pStyle w:val="BodyText"/>
              <w:ind w:left="535"/>
              <w:rPr>
                <w:b w:val="0"/>
              </w:rPr>
            </w:pPr>
            <w:r>
              <w:rPr>
                <w:b w:val="0"/>
              </w:rPr>
              <w:t>T</w:t>
            </w:r>
            <w:r w:rsidR="007471B5">
              <w:rPr>
                <w:b w:val="0"/>
              </w:rPr>
              <w:t xml:space="preserve">he client needs to obtain a Substance Use Evaluation prior to sentencing. </w:t>
            </w:r>
          </w:p>
          <w:p w14:paraId="4C48D730" w14:textId="77777777" w:rsidR="004549DC" w:rsidRDefault="007471B5" w:rsidP="004549DC">
            <w:pPr>
              <w:pStyle w:val="BodyText"/>
              <w:ind w:left="535"/>
              <w:rPr>
                <w:b w:val="0"/>
              </w:rPr>
            </w:pPr>
            <w:r>
              <w:rPr>
                <w:b w:val="0"/>
              </w:rPr>
              <w:t xml:space="preserve">The client also has a district court case pending. The client is out on </w:t>
            </w:r>
            <w:proofErr w:type="gramStart"/>
            <w:r>
              <w:rPr>
                <w:b w:val="0"/>
              </w:rPr>
              <w:t>bond</w:t>
            </w:r>
            <w:proofErr w:type="gramEnd"/>
            <w:r>
              <w:rPr>
                <w:b w:val="0"/>
              </w:rPr>
              <w:t xml:space="preserve"> in the district court case. </w:t>
            </w:r>
          </w:p>
          <w:p w14:paraId="005A7E8E" w14:textId="77777777" w:rsidR="004549DC" w:rsidRDefault="007471B5" w:rsidP="004549DC">
            <w:pPr>
              <w:pStyle w:val="BodyText"/>
              <w:ind w:left="535"/>
              <w:rPr>
                <w:b w:val="0"/>
              </w:rPr>
            </w:pPr>
            <w:r>
              <w:rPr>
                <w:b w:val="0"/>
              </w:rPr>
              <w:t xml:space="preserve">Mary argued for her client’s release on his own recognizance and for a continuance to obtain the evaluation. The client plans to enter an inpatient treatment program. </w:t>
            </w:r>
          </w:p>
          <w:p w14:paraId="19325AB2" w14:textId="01A3AC1A" w:rsidR="004549DC" w:rsidRDefault="007471B5" w:rsidP="004549DC">
            <w:pPr>
              <w:pStyle w:val="BodyText"/>
              <w:ind w:left="535"/>
              <w:rPr>
                <w:b w:val="0"/>
              </w:rPr>
            </w:pPr>
            <w:r>
              <w:rPr>
                <w:b w:val="0"/>
              </w:rPr>
              <w:t xml:space="preserve">The State argued </w:t>
            </w:r>
            <w:r w:rsidR="00917BEB">
              <w:rPr>
                <w:b w:val="0"/>
              </w:rPr>
              <w:t>that</w:t>
            </w:r>
            <w:r>
              <w:rPr>
                <w:b w:val="0"/>
              </w:rPr>
              <w:t xml:space="preserve"> the client</w:t>
            </w:r>
            <w:r w:rsidR="00917BEB">
              <w:rPr>
                <w:b w:val="0"/>
              </w:rPr>
              <w:t xml:space="preserve"> should</w:t>
            </w:r>
            <w:r>
              <w:rPr>
                <w:b w:val="0"/>
              </w:rPr>
              <w:t xml:space="preserve"> remain in custody until placement at the inpatient treatment program. </w:t>
            </w:r>
          </w:p>
          <w:p w14:paraId="04F1D703" w14:textId="2AB5BD77" w:rsidR="0008620E" w:rsidRDefault="007471B5" w:rsidP="004549DC">
            <w:pPr>
              <w:pStyle w:val="BodyText"/>
              <w:ind w:left="535"/>
              <w:rPr>
                <w:b w:val="0"/>
              </w:rPr>
            </w:pPr>
            <w:r>
              <w:rPr>
                <w:b w:val="0"/>
              </w:rPr>
              <w:t>The court continued the sentencing hearing to 2/26/2025 and ordered the client to be released on his own recognizance with conditions</w:t>
            </w:r>
            <w:r w:rsidR="004549DC">
              <w:rPr>
                <w:b w:val="0"/>
              </w:rPr>
              <w:t>.</w:t>
            </w:r>
          </w:p>
          <w:p w14:paraId="6E975E59" w14:textId="38B3B81B" w:rsidR="004549DC" w:rsidRDefault="004549DC" w:rsidP="004549DC">
            <w:pPr>
              <w:pStyle w:val="BodyText"/>
              <w:numPr>
                <w:ilvl w:val="0"/>
                <w:numId w:val="3"/>
              </w:numPr>
              <w:rPr>
                <w:b w:val="0"/>
              </w:rPr>
            </w:pPr>
            <w:r w:rsidRPr="00917BEB">
              <w:rPr>
                <w:b w:val="0"/>
                <w:u w:val="single"/>
              </w:rPr>
              <w:t>Mary’s third client</w:t>
            </w:r>
            <w:r>
              <w:rPr>
                <w:b w:val="0"/>
              </w:rPr>
              <w:t xml:space="preserve"> had a status hearing today. The parties reached a settlement agreement. The client pled No Contest to Disorderly Conduct. There was a joint recommendation that the client be sentenced to time served (1 day jail) concurrent to her sentencing in 24-CR-00484.</w:t>
            </w:r>
          </w:p>
          <w:p w14:paraId="2CF2C96B" w14:textId="173A3722" w:rsidR="004549DC" w:rsidRDefault="004549DC" w:rsidP="004549DC">
            <w:pPr>
              <w:pStyle w:val="BodyText"/>
              <w:ind w:left="535"/>
              <w:rPr>
                <w:b w:val="0"/>
              </w:rPr>
            </w:pPr>
            <w:r>
              <w:rPr>
                <w:b w:val="0"/>
              </w:rPr>
              <w:t>The client waived her right of allocation.</w:t>
            </w:r>
          </w:p>
          <w:p w14:paraId="55D8FBE4" w14:textId="0BD65FB0" w:rsidR="004549DC" w:rsidRDefault="004549DC" w:rsidP="004549DC">
            <w:pPr>
              <w:pStyle w:val="BodyText"/>
              <w:ind w:left="535"/>
              <w:rPr>
                <w:b w:val="0"/>
              </w:rPr>
            </w:pPr>
            <w:r>
              <w:rPr>
                <w:b w:val="0"/>
              </w:rPr>
              <w:t>The victim waived his right to provide a victim impact statement.</w:t>
            </w:r>
          </w:p>
          <w:p w14:paraId="38689197" w14:textId="454D873A" w:rsidR="004549DC" w:rsidRDefault="004549DC" w:rsidP="004549DC">
            <w:pPr>
              <w:pStyle w:val="BodyText"/>
              <w:ind w:left="535"/>
              <w:rPr>
                <w:b w:val="0"/>
              </w:rPr>
            </w:pPr>
            <w:r>
              <w:rPr>
                <w:b w:val="0"/>
              </w:rPr>
              <w:t>The court followed the joint sentencing recommendation.</w:t>
            </w:r>
          </w:p>
          <w:p w14:paraId="0433FB61" w14:textId="0BBCC71F" w:rsidR="004549DC" w:rsidRDefault="004549DC" w:rsidP="004549DC">
            <w:pPr>
              <w:pStyle w:val="BodyText"/>
              <w:ind w:left="535"/>
              <w:rPr>
                <w:b w:val="0"/>
              </w:rPr>
            </w:pPr>
            <w:r>
              <w:rPr>
                <w:b w:val="0"/>
              </w:rPr>
              <w:t>In case 24-CR-00484 the client had a Review hearing scheduled for 2/12/2025. At the client’s request and with no opposition from the State, the court vacated the 2/12/2025 hearing and set a Review hearing for 3/19/2025 at 2:00 p.m.</w:t>
            </w:r>
          </w:p>
          <w:p w14:paraId="640B6EBD" w14:textId="2EC9D1BB" w:rsidR="00111A09" w:rsidRDefault="00111A09" w:rsidP="00111A09">
            <w:pPr>
              <w:pStyle w:val="BodyText"/>
              <w:numPr>
                <w:ilvl w:val="0"/>
                <w:numId w:val="3"/>
              </w:numPr>
              <w:rPr>
                <w:b w:val="0"/>
              </w:rPr>
            </w:pPr>
            <w:r w:rsidRPr="00917BEB">
              <w:rPr>
                <w:b w:val="0"/>
                <w:u w:val="single"/>
              </w:rPr>
              <w:t xml:space="preserve">Mary’s </w:t>
            </w:r>
            <w:r w:rsidRPr="00917BEB">
              <w:rPr>
                <w:b w:val="0"/>
                <w:u w:val="single"/>
              </w:rPr>
              <w:t>fourth</w:t>
            </w:r>
            <w:r w:rsidRPr="00917BEB">
              <w:rPr>
                <w:b w:val="0"/>
                <w:u w:val="single"/>
              </w:rPr>
              <w:t xml:space="preserve"> client</w:t>
            </w:r>
            <w:r w:rsidRPr="00111A09">
              <w:rPr>
                <w:b w:val="0"/>
              </w:rPr>
              <w:t xml:space="preserve"> had a status hearing today. The parties reached a settlement agreement. The client pled </w:t>
            </w:r>
            <w:r w:rsidRPr="00111A09">
              <w:rPr>
                <w:b w:val="0"/>
              </w:rPr>
              <w:t>Guilty to Principal to Petit Larceny</w:t>
            </w:r>
            <w:r w:rsidRPr="00111A09">
              <w:rPr>
                <w:b w:val="0"/>
              </w:rPr>
              <w:t>. There was a joint recommendation that the client be sentenced to</w:t>
            </w:r>
            <w:r w:rsidRPr="00111A09">
              <w:rPr>
                <w:b w:val="0"/>
              </w:rPr>
              <w:t>:</w:t>
            </w:r>
            <w:r w:rsidRPr="00111A09">
              <w:rPr>
                <w:b w:val="0"/>
              </w:rPr>
              <w:t xml:space="preserve"> time served </w:t>
            </w:r>
            <w:r w:rsidRPr="00111A09">
              <w:rPr>
                <w:b w:val="0"/>
              </w:rPr>
              <w:t>plus 160</w:t>
            </w:r>
            <w:r w:rsidR="00917BEB">
              <w:rPr>
                <w:b w:val="0"/>
              </w:rPr>
              <w:t xml:space="preserve"> </w:t>
            </w:r>
            <w:proofErr w:type="gramStart"/>
            <w:r w:rsidRPr="00111A09">
              <w:rPr>
                <w:b w:val="0"/>
              </w:rPr>
              <w:t>days</w:t>
            </w:r>
            <w:proofErr w:type="gramEnd"/>
            <w:r w:rsidRPr="00111A09">
              <w:rPr>
                <w:b w:val="0"/>
              </w:rPr>
              <w:t xml:space="preserve"> jail suspended for 1 year on conditions, plus a $500 fine and restitution. </w:t>
            </w:r>
          </w:p>
          <w:p w14:paraId="43845CC3" w14:textId="33475087" w:rsidR="00111A09" w:rsidRPr="00111A09" w:rsidRDefault="00111A09" w:rsidP="00111A09">
            <w:pPr>
              <w:pStyle w:val="BodyText"/>
              <w:ind w:left="535"/>
              <w:rPr>
                <w:b w:val="0"/>
              </w:rPr>
            </w:pPr>
            <w:r w:rsidRPr="00111A09">
              <w:rPr>
                <w:b w:val="0"/>
              </w:rPr>
              <w:t xml:space="preserve">The client </w:t>
            </w:r>
            <w:r>
              <w:rPr>
                <w:b w:val="0"/>
              </w:rPr>
              <w:t>exercis</w:t>
            </w:r>
            <w:r w:rsidRPr="00111A09">
              <w:rPr>
                <w:b w:val="0"/>
              </w:rPr>
              <w:t>ed her right of allocation</w:t>
            </w:r>
            <w:r>
              <w:rPr>
                <w:b w:val="0"/>
              </w:rPr>
              <w:t xml:space="preserve"> explaining that she was on drugs at the time of this offense and since this offense she has been sober and that she is working hard on her sobriety</w:t>
            </w:r>
            <w:r w:rsidRPr="00111A09">
              <w:rPr>
                <w:b w:val="0"/>
              </w:rPr>
              <w:t>.</w:t>
            </w:r>
          </w:p>
          <w:p w14:paraId="47E78F76" w14:textId="18CAEF47" w:rsidR="00111A09" w:rsidRDefault="00111A09" w:rsidP="00111A09">
            <w:pPr>
              <w:pStyle w:val="BodyText"/>
              <w:ind w:left="535"/>
              <w:rPr>
                <w:b w:val="0"/>
              </w:rPr>
            </w:pPr>
            <w:r>
              <w:rPr>
                <w:b w:val="0"/>
              </w:rPr>
              <w:t xml:space="preserve">The victim </w:t>
            </w:r>
            <w:r>
              <w:rPr>
                <w:b w:val="0"/>
              </w:rPr>
              <w:t xml:space="preserve">(Famous Footwear) </w:t>
            </w:r>
            <w:r>
              <w:rPr>
                <w:b w:val="0"/>
              </w:rPr>
              <w:t xml:space="preserve">waived </w:t>
            </w:r>
            <w:r>
              <w:rPr>
                <w:b w:val="0"/>
              </w:rPr>
              <w:t>it</w:t>
            </w:r>
            <w:r>
              <w:rPr>
                <w:b w:val="0"/>
              </w:rPr>
              <w:t>s right to provide a victim impact statement.</w:t>
            </w:r>
          </w:p>
          <w:p w14:paraId="44B07413" w14:textId="4061E773" w:rsidR="00917BEB" w:rsidRDefault="00111A09" w:rsidP="00917BEB">
            <w:pPr>
              <w:pStyle w:val="BodyText"/>
              <w:ind w:left="535"/>
              <w:rPr>
                <w:b w:val="0"/>
              </w:rPr>
            </w:pPr>
            <w:r>
              <w:rPr>
                <w:b w:val="0"/>
              </w:rPr>
              <w:t>The court followed the joint sentencing recommendation.</w:t>
            </w:r>
            <w:r w:rsidR="00E90E24">
              <w:rPr>
                <w:b w:val="0"/>
              </w:rPr>
              <w:t xml:space="preserve"> The $500 fine and $140 in fees and assessments were taken from the cash bail previously posted. The restitution had already been paid in full by the co-defendant.</w:t>
            </w:r>
          </w:p>
          <w:p w14:paraId="180918E5" w14:textId="084E70EC" w:rsidR="00111A09" w:rsidRDefault="00917BEB" w:rsidP="00111A09">
            <w:pPr>
              <w:pStyle w:val="BodyText"/>
              <w:numPr>
                <w:ilvl w:val="0"/>
                <w:numId w:val="3"/>
              </w:numPr>
              <w:rPr>
                <w:b w:val="0"/>
              </w:rPr>
            </w:pPr>
            <w:r w:rsidRPr="00917BEB">
              <w:rPr>
                <w:b w:val="0"/>
                <w:u w:val="single"/>
              </w:rPr>
              <w:t>Mary’s fifth client</w:t>
            </w:r>
            <w:r>
              <w:rPr>
                <w:b w:val="0"/>
              </w:rPr>
              <w:t xml:space="preserve"> had a status hearing today. Mary informed the court that the parties were very close to reaching a resolution in this case. Mary requested that the case be continued </w:t>
            </w:r>
            <w:proofErr w:type="gramStart"/>
            <w:r>
              <w:rPr>
                <w:b w:val="0"/>
              </w:rPr>
              <w:t>to</w:t>
            </w:r>
            <w:proofErr w:type="gramEnd"/>
            <w:r>
              <w:rPr>
                <w:b w:val="0"/>
              </w:rPr>
              <w:t xml:space="preserve"> 2/12/2025. Mary informed the court that the client has obtained a Substance Use Evaluation so that if the case </w:t>
            </w:r>
            <w:proofErr w:type="gramStart"/>
            <w:r>
              <w:rPr>
                <w:b w:val="0"/>
              </w:rPr>
              <w:t>resolves</w:t>
            </w:r>
            <w:proofErr w:type="gramEnd"/>
            <w:r>
              <w:rPr>
                <w:b w:val="0"/>
              </w:rPr>
              <w:t xml:space="preserve"> at the next hearing the case can proceed directly to sentencing. The court granted the requested continuance.</w:t>
            </w:r>
          </w:p>
          <w:p w14:paraId="1F032783" w14:textId="2FE004F4" w:rsidR="00917BEB" w:rsidRDefault="00917BEB" w:rsidP="00111A09">
            <w:pPr>
              <w:pStyle w:val="BodyText"/>
              <w:numPr>
                <w:ilvl w:val="0"/>
                <w:numId w:val="3"/>
              </w:numPr>
              <w:rPr>
                <w:b w:val="0"/>
              </w:rPr>
            </w:pPr>
            <w:r>
              <w:rPr>
                <w:b w:val="0"/>
                <w:u w:val="single"/>
              </w:rPr>
              <w:t xml:space="preserve">Mary’s sixth client </w:t>
            </w:r>
            <w:r w:rsidR="00D66BD6" w:rsidRPr="00D66BD6">
              <w:rPr>
                <w:b w:val="0"/>
              </w:rPr>
              <w:t>did not appear in court today</w:t>
            </w:r>
            <w:r w:rsidR="00D66BD6">
              <w:rPr>
                <w:b w:val="0"/>
              </w:rPr>
              <w:t xml:space="preserve">. Mary requested that the matter be continued. Mary explained that this client is developmentally delayed and has a case manager who assists him. Mary had tried to reach the client by telephone when he did not appear </w:t>
            </w:r>
            <w:proofErr w:type="gramStart"/>
            <w:r w:rsidR="00D66BD6">
              <w:rPr>
                <w:b w:val="0"/>
              </w:rPr>
              <w:t>for</w:t>
            </w:r>
            <w:proofErr w:type="gramEnd"/>
            <w:r w:rsidR="00D66BD6">
              <w:rPr>
                <w:b w:val="0"/>
              </w:rPr>
              <w:t xml:space="preserve"> court, but the call went directly to voice mail. The court set an Order to Show Cause for 2/12/2025 at 2:00 p.m.</w:t>
            </w:r>
          </w:p>
          <w:p w14:paraId="444D4CE5" w14:textId="42133157" w:rsidR="00D66BD6" w:rsidRDefault="00D66BD6" w:rsidP="00111A09">
            <w:pPr>
              <w:pStyle w:val="BodyText"/>
              <w:numPr>
                <w:ilvl w:val="0"/>
                <w:numId w:val="3"/>
              </w:numPr>
              <w:rPr>
                <w:b w:val="0"/>
              </w:rPr>
            </w:pPr>
            <w:r>
              <w:rPr>
                <w:b w:val="0"/>
                <w:u w:val="single"/>
              </w:rPr>
              <w:t xml:space="preserve">Mary’s seventh client </w:t>
            </w:r>
            <w:r w:rsidR="0057085D" w:rsidRPr="0057085D">
              <w:rPr>
                <w:b w:val="0"/>
              </w:rPr>
              <w:t>was scheduled for a Sentencing hearing today on a DUI-1</w:t>
            </w:r>
            <w:r w:rsidR="0057085D" w:rsidRPr="0057085D">
              <w:rPr>
                <w:b w:val="0"/>
                <w:vertAlign w:val="superscript"/>
              </w:rPr>
              <w:t>st</w:t>
            </w:r>
            <w:r w:rsidR="0057085D" w:rsidRPr="0057085D">
              <w:rPr>
                <w:b w:val="0"/>
              </w:rPr>
              <w:t xml:space="preserve"> offense charge. </w:t>
            </w:r>
            <w:r w:rsidR="0057085D">
              <w:rPr>
                <w:b w:val="0"/>
              </w:rPr>
              <w:t xml:space="preserve">However, the client failed to appear. Mary was unable to reach the client today by telephone. Mary requested a </w:t>
            </w:r>
            <w:proofErr w:type="gramStart"/>
            <w:r w:rsidR="0057085D">
              <w:rPr>
                <w:b w:val="0"/>
              </w:rPr>
              <w:t>2 week</w:t>
            </w:r>
            <w:proofErr w:type="gramEnd"/>
            <w:r w:rsidR="0057085D">
              <w:rPr>
                <w:b w:val="0"/>
              </w:rPr>
              <w:t xml:space="preserve"> </w:t>
            </w:r>
            <w:proofErr w:type="gramStart"/>
            <w:r w:rsidR="0057085D">
              <w:rPr>
                <w:b w:val="0"/>
              </w:rPr>
              <w:t>continuance</w:t>
            </w:r>
            <w:proofErr w:type="gramEnd"/>
            <w:r w:rsidR="0057085D">
              <w:rPr>
                <w:b w:val="0"/>
              </w:rPr>
              <w:t>. The State requested a bench warrant be issued. The court issued an Order to Show Cause for 2/12/2025 at 2:00 p.m.</w:t>
            </w:r>
          </w:p>
          <w:p w14:paraId="1830F232" w14:textId="6DF2C801" w:rsidR="00A00620" w:rsidRDefault="00A00620" w:rsidP="00A00620">
            <w:pPr>
              <w:pStyle w:val="BodyText"/>
              <w:numPr>
                <w:ilvl w:val="0"/>
                <w:numId w:val="3"/>
              </w:numPr>
              <w:rPr>
                <w:b w:val="0"/>
              </w:rPr>
            </w:pPr>
            <w:r w:rsidRPr="00917BEB">
              <w:rPr>
                <w:b w:val="0"/>
                <w:u w:val="single"/>
              </w:rPr>
              <w:t xml:space="preserve">Mary’s </w:t>
            </w:r>
            <w:r>
              <w:rPr>
                <w:b w:val="0"/>
                <w:u w:val="single"/>
              </w:rPr>
              <w:t>eigh</w:t>
            </w:r>
            <w:r w:rsidRPr="00917BEB">
              <w:rPr>
                <w:b w:val="0"/>
                <w:u w:val="single"/>
              </w:rPr>
              <w:t>th client</w:t>
            </w:r>
            <w:r>
              <w:rPr>
                <w:b w:val="0"/>
              </w:rPr>
              <w:t xml:space="preserve"> had a status hearing today. Mary </w:t>
            </w:r>
            <w:r>
              <w:rPr>
                <w:b w:val="0"/>
              </w:rPr>
              <w:t xml:space="preserve">informed the court that the parties were still working to resolve the case. Mary </w:t>
            </w:r>
            <w:r>
              <w:rPr>
                <w:b w:val="0"/>
              </w:rPr>
              <w:t>requested that the case be continued to 2/1</w:t>
            </w:r>
            <w:r>
              <w:rPr>
                <w:b w:val="0"/>
              </w:rPr>
              <w:t>9</w:t>
            </w:r>
            <w:r>
              <w:rPr>
                <w:b w:val="0"/>
              </w:rPr>
              <w:t>/2025. The court granted the requested continuance.</w:t>
            </w:r>
          </w:p>
          <w:p w14:paraId="54B1E35C" w14:textId="77777777" w:rsidR="004F192B" w:rsidRDefault="004F192B" w:rsidP="004F192B">
            <w:pPr>
              <w:pStyle w:val="BodyText"/>
              <w:ind w:left="535"/>
              <w:rPr>
                <w:b w:val="0"/>
                <w:u w:val="single"/>
              </w:rPr>
            </w:pPr>
          </w:p>
          <w:p w14:paraId="19522CDA" w14:textId="77777777" w:rsidR="004F192B" w:rsidRDefault="004F192B" w:rsidP="004F192B">
            <w:pPr>
              <w:pStyle w:val="BodyText"/>
              <w:ind w:left="535"/>
              <w:rPr>
                <w:b w:val="0"/>
                <w:u w:val="single"/>
              </w:rPr>
            </w:pPr>
          </w:p>
          <w:p w14:paraId="16B5E8BD" w14:textId="77777777" w:rsidR="004F192B" w:rsidRDefault="004F192B" w:rsidP="004F192B">
            <w:pPr>
              <w:pStyle w:val="BodyText"/>
              <w:ind w:left="535"/>
              <w:rPr>
                <w:b w:val="0"/>
                <w:u w:val="single"/>
              </w:rPr>
            </w:pPr>
          </w:p>
          <w:p w14:paraId="58FB065D" w14:textId="6373475A" w:rsidR="004F192B" w:rsidRPr="00EE5E9B" w:rsidRDefault="004F192B" w:rsidP="004F192B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lastRenderedPageBreak/>
              <w:t>Remarks/Recommendations/Notes</w:t>
            </w:r>
            <w:r>
              <w:rPr>
                <w:b/>
                <w:color w:val="231F20"/>
                <w:sz w:val="21"/>
              </w:rPr>
              <w:t xml:space="preserve"> (Continued from the previous page)</w:t>
            </w:r>
            <w:r>
              <w:rPr>
                <w:b/>
                <w:color w:val="231F20"/>
                <w:spacing w:val="18"/>
                <w:sz w:val="21"/>
              </w:rPr>
              <w:t>:</w:t>
            </w:r>
          </w:p>
          <w:p w14:paraId="47DBDEB1" w14:textId="77777777" w:rsidR="004F192B" w:rsidRDefault="004F192B" w:rsidP="004F192B">
            <w:pPr>
              <w:pStyle w:val="BodyText"/>
              <w:ind w:left="535"/>
              <w:rPr>
                <w:b w:val="0"/>
              </w:rPr>
            </w:pPr>
          </w:p>
          <w:p w14:paraId="7EC211C3" w14:textId="3D0044DF" w:rsidR="00C97DE9" w:rsidRDefault="00C97DE9" w:rsidP="00C97DE9">
            <w:pPr>
              <w:pStyle w:val="BodyText"/>
              <w:numPr>
                <w:ilvl w:val="0"/>
                <w:numId w:val="3"/>
              </w:numPr>
              <w:rPr>
                <w:b w:val="0"/>
              </w:rPr>
            </w:pPr>
            <w:r w:rsidRPr="00917BEB">
              <w:rPr>
                <w:b w:val="0"/>
                <w:u w:val="single"/>
              </w:rPr>
              <w:t xml:space="preserve">Mary’s </w:t>
            </w:r>
            <w:r>
              <w:rPr>
                <w:b w:val="0"/>
                <w:u w:val="single"/>
              </w:rPr>
              <w:t>nin</w:t>
            </w:r>
            <w:r w:rsidRPr="00917BEB">
              <w:rPr>
                <w:b w:val="0"/>
                <w:u w:val="single"/>
              </w:rPr>
              <w:t>th client</w:t>
            </w:r>
            <w:r w:rsidRPr="00111A09">
              <w:rPr>
                <w:b w:val="0"/>
              </w:rPr>
              <w:t xml:space="preserve"> had a status hearing today. The parties reached a settlement agreement. The client pled Guilty to </w:t>
            </w:r>
            <w:r>
              <w:rPr>
                <w:b w:val="0"/>
              </w:rPr>
              <w:t>Theft, a misdemeanor</w:t>
            </w:r>
            <w:r w:rsidRPr="00111A09">
              <w:rPr>
                <w:b w:val="0"/>
              </w:rPr>
              <w:t xml:space="preserve">. There was a joint recommendation that the client be sentenced to: </w:t>
            </w:r>
            <w:r>
              <w:rPr>
                <w:b w:val="0"/>
              </w:rPr>
              <w:t xml:space="preserve">180 </w:t>
            </w:r>
            <w:r w:rsidRPr="00111A09">
              <w:rPr>
                <w:b w:val="0"/>
              </w:rPr>
              <w:t xml:space="preserve">days jail </w:t>
            </w:r>
            <w:r>
              <w:rPr>
                <w:b w:val="0"/>
              </w:rPr>
              <w:t xml:space="preserve">with 120 of those days </w:t>
            </w:r>
            <w:r w:rsidRPr="00111A09">
              <w:rPr>
                <w:b w:val="0"/>
              </w:rPr>
              <w:t>suspended for 1 year on conditions</w:t>
            </w:r>
            <w:r>
              <w:rPr>
                <w:b w:val="0"/>
              </w:rPr>
              <w:t xml:space="preserve">. The client was currently in custody and would be given credit for his time served toward the </w:t>
            </w:r>
            <w:proofErr w:type="gramStart"/>
            <w:r>
              <w:rPr>
                <w:b w:val="0"/>
              </w:rPr>
              <w:t>60 days</w:t>
            </w:r>
            <w:proofErr w:type="gramEnd"/>
            <w:r>
              <w:rPr>
                <w:b w:val="0"/>
              </w:rPr>
              <w:t xml:space="preserve"> active jail. </w:t>
            </w:r>
          </w:p>
          <w:p w14:paraId="763063B7" w14:textId="68E4C0A1" w:rsidR="00C97DE9" w:rsidRPr="00111A09" w:rsidRDefault="00C97DE9" w:rsidP="00C97DE9">
            <w:pPr>
              <w:pStyle w:val="BodyText"/>
              <w:ind w:left="535"/>
              <w:rPr>
                <w:b w:val="0"/>
              </w:rPr>
            </w:pPr>
            <w:r w:rsidRPr="00111A09">
              <w:rPr>
                <w:b w:val="0"/>
              </w:rPr>
              <w:t xml:space="preserve">The client </w:t>
            </w:r>
            <w:r>
              <w:rPr>
                <w:b w:val="0"/>
              </w:rPr>
              <w:t>waived his</w:t>
            </w:r>
            <w:r w:rsidRPr="00111A09">
              <w:rPr>
                <w:b w:val="0"/>
              </w:rPr>
              <w:t xml:space="preserve"> right of allocation.</w:t>
            </w:r>
          </w:p>
          <w:p w14:paraId="396E69AE" w14:textId="5F9518DD" w:rsidR="00C97DE9" w:rsidRDefault="00C97DE9" w:rsidP="00C97DE9">
            <w:pPr>
              <w:pStyle w:val="BodyText"/>
              <w:ind w:left="535"/>
              <w:rPr>
                <w:b w:val="0"/>
              </w:rPr>
            </w:pPr>
            <w:r>
              <w:rPr>
                <w:b w:val="0"/>
              </w:rPr>
              <w:t>The victim (</w:t>
            </w:r>
            <w:r>
              <w:rPr>
                <w:b w:val="0"/>
              </w:rPr>
              <w:t>Target</w:t>
            </w:r>
            <w:r>
              <w:rPr>
                <w:b w:val="0"/>
              </w:rPr>
              <w:t>) waived its right to provide a victim impact statement.</w:t>
            </w:r>
          </w:p>
          <w:p w14:paraId="6550A446" w14:textId="75E7CF11" w:rsidR="0057085D" w:rsidRDefault="00C97DE9" w:rsidP="00C97DE9">
            <w:pPr>
              <w:pStyle w:val="BodyText"/>
              <w:ind w:left="535"/>
              <w:rPr>
                <w:b w:val="0"/>
              </w:rPr>
            </w:pPr>
            <w:r>
              <w:rPr>
                <w:b w:val="0"/>
              </w:rPr>
              <w:t xml:space="preserve">The court followed the joint sentencing recommendation. </w:t>
            </w:r>
          </w:p>
          <w:p w14:paraId="653E4AEA" w14:textId="41E518F2" w:rsidR="00C97DE9" w:rsidRPr="0057085D" w:rsidRDefault="00C97DE9" w:rsidP="00C97DE9">
            <w:pPr>
              <w:pStyle w:val="BodyText"/>
              <w:ind w:left="535"/>
              <w:rPr>
                <w:b w:val="0"/>
              </w:rPr>
            </w:pPr>
            <w:r>
              <w:rPr>
                <w:b w:val="0"/>
              </w:rPr>
              <w:t>The remaining counts were dismissed.</w:t>
            </w:r>
          </w:p>
          <w:p w14:paraId="4E967951" w14:textId="77777777" w:rsidR="00ED111E" w:rsidRPr="00D66BD6" w:rsidRDefault="00ED111E" w:rsidP="00372966">
            <w:pPr>
              <w:pStyle w:val="BodyText"/>
              <w:rPr>
                <w:b w:val="0"/>
              </w:rPr>
            </w:pPr>
          </w:p>
          <w:p w14:paraId="3CA2DBD2" w14:textId="77777777" w:rsidR="00ED111E" w:rsidRDefault="00ED111E" w:rsidP="00372966">
            <w:pPr>
              <w:pStyle w:val="BodyText"/>
              <w:rPr>
                <w:b w:val="0"/>
              </w:rPr>
            </w:pPr>
          </w:p>
          <w:p w14:paraId="27CBD336" w14:textId="0D37E2A2" w:rsidR="00ED111E" w:rsidRPr="00EE5E9B" w:rsidRDefault="00ED111E" w:rsidP="00372966">
            <w:pPr>
              <w:pStyle w:val="BodyText"/>
              <w:rPr>
                <w:bCs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lastRenderedPageBreak/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21F14EFE"/>
    <w:multiLevelType w:val="hybridMultilevel"/>
    <w:tmpl w:val="713ECD7E"/>
    <w:lvl w:ilvl="0" w:tplc="5632579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num w:numId="1" w16cid:durableId="1578319324">
    <w:abstractNumId w:val="2"/>
  </w:num>
  <w:num w:numId="2" w16cid:durableId="585502802">
    <w:abstractNumId w:val="0"/>
  </w:num>
  <w:num w:numId="3" w16cid:durableId="690398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22660"/>
    <w:rsid w:val="00044E76"/>
    <w:rsid w:val="000517E4"/>
    <w:rsid w:val="000541C3"/>
    <w:rsid w:val="00054A21"/>
    <w:rsid w:val="0008079A"/>
    <w:rsid w:val="0008098A"/>
    <w:rsid w:val="0008100F"/>
    <w:rsid w:val="00081921"/>
    <w:rsid w:val="0008620E"/>
    <w:rsid w:val="000A4F2B"/>
    <w:rsid w:val="000B00AC"/>
    <w:rsid w:val="000B1FDF"/>
    <w:rsid w:val="000B66FF"/>
    <w:rsid w:val="000C771F"/>
    <w:rsid w:val="000E6014"/>
    <w:rsid w:val="000F37F2"/>
    <w:rsid w:val="00111A09"/>
    <w:rsid w:val="001305EC"/>
    <w:rsid w:val="001628B1"/>
    <w:rsid w:val="00162F2C"/>
    <w:rsid w:val="00167EE2"/>
    <w:rsid w:val="001C68EE"/>
    <w:rsid w:val="001E4C16"/>
    <w:rsid w:val="0022184F"/>
    <w:rsid w:val="00230146"/>
    <w:rsid w:val="0025077E"/>
    <w:rsid w:val="002608B8"/>
    <w:rsid w:val="0027597B"/>
    <w:rsid w:val="00291D3F"/>
    <w:rsid w:val="00293F85"/>
    <w:rsid w:val="002A452E"/>
    <w:rsid w:val="002F30D2"/>
    <w:rsid w:val="00332AA5"/>
    <w:rsid w:val="00347651"/>
    <w:rsid w:val="00372966"/>
    <w:rsid w:val="003737E1"/>
    <w:rsid w:val="00382160"/>
    <w:rsid w:val="00387D29"/>
    <w:rsid w:val="003A1A2F"/>
    <w:rsid w:val="003A61FE"/>
    <w:rsid w:val="003B010C"/>
    <w:rsid w:val="003B4B6C"/>
    <w:rsid w:val="003B5049"/>
    <w:rsid w:val="003D3BCE"/>
    <w:rsid w:val="003E1670"/>
    <w:rsid w:val="00431078"/>
    <w:rsid w:val="00446CE9"/>
    <w:rsid w:val="004549DC"/>
    <w:rsid w:val="00481089"/>
    <w:rsid w:val="00496106"/>
    <w:rsid w:val="0049612C"/>
    <w:rsid w:val="004B241C"/>
    <w:rsid w:val="004F192B"/>
    <w:rsid w:val="005439B8"/>
    <w:rsid w:val="00552654"/>
    <w:rsid w:val="00566083"/>
    <w:rsid w:val="0057085D"/>
    <w:rsid w:val="005E6DB7"/>
    <w:rsid w:val="005E7B10"/>
    <w:rsid w:val="00602BA9"/>
    <w:rsid w:val="00641F31"/>
    <w:rsid w:val="00644B99"/>
    <w:rsid w:val="0066578A"/>
    <w:rsid w:val="00695340"/>
    <w:rsid w:val="006A23BE"/>
    <w:rsid w:val="006B2F02"/>
    <w:rsid w:val="006F7345"/>
    <w:rsid w:val="00723B2F"/>
    <w:rsid w:val="00743B27"/>
    <w:rsid w:val="007471B5"/>
    <w:rsid w:val="00792811"/>
    <w:rsid w:val="007A7802"/>
    <w:rsid w:val="007B75CA"/>
    <w:rsid w:val="007F0B66"/>
    <w:rsid w:val="007F6CC1"/>
    <w:rsid w:val="00813372"/>
    <w:rsid w:val="00821CFE"/>
    <w:rsid w:val="008524A4"/>
    <w:rsid w:val="00867B0F"/>
    <w:rsid w:val="0089169D"/>
    <w:rsid w:val="008972C6"/>
    <w:rsid w:val="008A0761"/>
    <w:rsid w:val="008A3969"/>
    <w:rsid w:val="008B270D"/>
    <w:rsid w:val="00910500"/>
    <w:rsid w:val="00917B22"/>
    <w:rsid w:val="00917BEB"/>
    <w:rsid w:val="00930EA9"/>
    <w:rsid w:val="009438E1"/>
    <w:rsid w:val="00947D18"/>
    <w:rsid w:val="009528FF"/>
    <w:rsid w:val="009569DD"/>
    <w:rsid w:val="00961119"/>
    <w:rsid w:val="009928D6"/>
    <w:rsid w:val="009A13BC"/>
    <w:rsid w:val="009B6950"/>
    <w:rsid w:val="009C16EF"/>
    <w:rsid w:val="009C48B9"/>
    <w:rsid w:val="009C70ED"/>
    <w:rsid w:val="009D122A"/>
    <w:rsid w:val="009F1F0C"/>
    <w:rsid w:val="00A00620"/>
    <w:rsid w:val="00A12E33"/>
    <w:rsid w:val="00A73DAE"/>
    <w:rsid w:val="00A862BA"/>
    <w:rsid w:val="00A8637F"/>
    <w:rsid w:val="00A978E4"/>
    <w:rsid w:val="00AB19B5"/>
    <w:rsid w:val="00B06704"/>
    <w:rsid w:val="00B3085F"/>
    <w:rsid w:val="00B40071"/>
    <w:rsid w:val="00B41FCA"/>
    <w:rsid w:val="00B6197C"/>
    <w:rsid w:val="00B6420B"/>
    <w:rsid w:val="00BA5474"/>
    <w:rsid w:val="00BD72D8"/>
    <w:rsid w:val="00C06FEA"/>
    <w:rsid w:val="00C24E55"/>
    <w:rsid w:val="00C2564B"/>
    <w:rsid w:val="00C32990"/>
    <w:rsid w:val="00C46763"/>
    <w:rsid w:val="00C556B4"/>
    <w:rsid w:val="00C73CBC"/>
    <w:rsid w:val="00C9265C"/>
    <w:rsid w:val="00C97DE9"/>
    <w:rsid w:val="00CB1799"/>
    <w:rsid w:val="00CB3BA5"/>
    <w:rsid w:val="00CC14E0"/>
    <w:rsid w:val="00CC49C4"/>
    <w:rsid w:val="00CE1B81"/>
    <w:rsid w:val="00D0636F"/>
    <w:rsid w:val="00D17299"/>
    <w:rsid w:val="00D43004"/>
    <w:rsid w:val="00D54894"/>
    <w:rsid w:val="00D66A0F"/>
    <w:rsid w:val="00D66BD6"/>
    <w:rsid w:val="00D7404F"/>
    <w:rsid w:val="00DA2B60"/>
    <w:rsid w:val="00DD5F67"/>
    <w:rsid w:val="00E015DB"/>
    <w:rsid w:val="00E046A6"/>
    <w:rsid w:val="00E04851"/>
    <w:rsid w:val="00E31535"/>
    <w:rsid w:val="00E57505"/>
    <w:rsid w:val="00E5795A"/>
    <w:rsid w:val="00E90E24"/>
    <w:rsid w:val="00EB63A2"/>
    <w:rsid w:val="00ED111E"/>
    <w:rsid w:val="00EE01AA"/>
    <w:rsid w:val="00EE23DA"/>
    <w:rsid w:val="00EE5E9B"/>
    <w:rsid w:val="00EF4ADD"/>
    <w:rsid w:val="00F00E0C"/>
    <w:rsid w:val="00F33D21"/>
    <w:rsid w:val="00F36D7D"/>
    <w:rsid w:val="00F42F2A"/>
    <w:rsid w:val="00F70DDF"/>
    <w:rsid w:val="00F80F1A"/>
    <w:rsid w:val="00F83FCE"/>
    <w:rsid w:val="00F93549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1174</TotalTime>
  <Pages>3</Pages>
  <Words>1085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7256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15</cp:revision>
  <cp:lastPrinted>2025-01-08T18:10:00Z</cp:lastPrinted>
  <dcterms:created xsi:type="dcterms:W3CDTF">2025-02-15T22:23:00Z</dcterms:created>
  <dcterms:modified xsi:type="dcterms:W3CDTF">2025-02-16T18:18:00Z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