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7F861979" w:rsidR="00F00E0C" w:rsidRDefault="00750B6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February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6CC5B3F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0D02C0">
              <w:rPr>
                <w:rFonts w:ascii="Arial"/>
                <w:sz w:val="18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2C99FBA5" w:rsidR="00F00E0C" w:rsidRDefault="000D02C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7751DAAA" w:rsidR="00DB6810" w:rsidRDefault="00871B83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O</w:t>
            </w:r>
            <w:r>
              <w:rPr>
                <w:rFonts w:ascii="Arial"/>
                <w:sz w:val="18"/>
              </w:rPr>
              <w:t>’</w:t>
            </w:r>
            <w:r>
              <w:rPr>
                <w:rFonts w:ascii="Arial"/>
                <w:sz w:val="18"/>
              </w:rPr>
              <w:t>Gara</w:t>
            </w:r>
          </w:p>
          <w:p w14:paraId="20C03F20" w14:textId="577E2987" w:rsidR="00A60E66" w:rsidRDefault="00871B83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Deputy </w:t>
            </w:r>
            <w:r w:rsidR="00A60E66">
              <w:rPr>
                <w:rFonts w:ascii="Arial"/>
                <w:sz w:val="18"/>
              </w:rPr>
              <w:t>Public Defender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02F8E34D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0D02C0">
              <w:rPr>
                <w:rFonts w:ascii="Arial" w:hAnsi="Arial" w:cs="Arial"/>
                <w:sz w:val="18"/>
              </w:rPr>
              <w:t>Daniel Roche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0D02C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871B83">
              <w:rPr>
                <w:color w:val="231F20"/>
                <w:sz w:val="21"/>
                <w:highlight w:val="yellow"/>
              </w:rPr>
              <w:t>In</w:t>
            </w:r>
            <w:r w:rsidRPr="00871B83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871B83">
              <w:rPr>
                <w:color w:val="231F20"/>
                <w:sz w:val="21"/>
                <w:highlight w:val="yellow"/>
              </w:rPr>
              <w:t>Person</w:t>
            </w:r>
            <w:r w:rsidRPr="000D02C0">
              <w:rPr>
                <w:color w:val="231F20"/>
                <w:spacing w:val="3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Virtual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0D02C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Number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of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2D481D3F" w:rsidR="00F00E0C" w:rsidRPr="000D02C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0D02C0">
              <w:rPr>
                <w:rFonts w:ascii="Arial" w:hAnsi="Arial" w:cs="Arial"/>
                <w:sz w:val="18"/>
              </w:rPr>
              <w:t xml:space="preserve"> </w:t>
            </w:r>
            <w:r w:rsidR="00871B83">
              <w:rPr>
                <w:rFonts w:ascii="Arial" w:hAnsi="Arial" w:cs="Arial"/>
                <w:sz w:val="18"/>
              </w:rPr>
              <w:t>4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0D02C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A479E">
              <w:rPr>
                <w:color w:val="231F20"/>
                <w:sz w:val="21"/>
                <w:highlight w:val="yellow"/>
              </w:rPr>
              <w:t>In</w:t>
            </w:r>
            <w:r w:rsidRPr="00BA479E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BA479E">
              <w:rPr>
                <w:color w:val="231F20"/>
                <w:sz w:val="21"/>
                <w:highlight w:val="yellow"/>
              </w:rPr>
              <w:t>Person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Pr="00BA479E">
              <w:rPr>
                <w:color w:val="231F20"/>
                <w:sz w:val="21"/>
                <w:highlight w:val="yellow"/>
              </w:rPr>
              <w:t>Virtual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0D02C0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0D02C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Custodial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0D02C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IC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OOC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2"/>
                <w:sz w:val="21"/>
              </w:rPr>
              <w:t xml:space="preserve"> </w:t>
            </w:r>
            <w:r w:rsidRPr="00BA479E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54986026" w:rsidR="00260D33" w:rsidRPr="000D02C0" w:rsidRDefault="00BA479E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0D02C0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238F496B" w:rsidR="00260D33" w:rsidRPr="000D02C0" w:rsidRDefault="00BA479E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3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3B8050B1" w:rsidR="00260D33" w:rsidRPr="000D02C0" w:rsidRDefault="00BA479E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0D02C0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0D02C0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6942DBC8" w:rsidR="00260D33" w:rsidRPr="000D02C0" w:rsidRDefault="00260D3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4B00629D" w:rsidR="00260D33" w:rsidRPr="000D02C0" w:rsidRDefault="00BA479E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Arraignment, Sentencings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0D02C0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0D02C0">
              <w:rPr>
                <w:b/>
                <w:color w:val="231F20"/>
                <w:sz w:val="21"/>
              </w:rPr>
              <w:t>Attorney's</w:t>
            </w:r>
            <w:r w:rsidRPr="000D02C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0D02C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A479E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have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A479E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0D02C0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have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substantive,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confidential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meeting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0D02C0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each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before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A479E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prepared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handle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their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clients'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A479E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0D02C0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How</w:t>
            </w:r>
            <w:r w:rsidRPr="000D02C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prepared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did</w:t>
            </w:r>
            <w:r w:rsidRPr="000D02C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95ADA97" w:rsidR="00260D33" w:rsidRPr="000D02C0" w:rsidRDefault="00871B83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260D33" w:rsidRPr="000D02C0">
              <w:rPr>
                <w:sz w:val="21"/>
              </w:rPr>
              <w:t xml:space="preserve"> appeared to be prepared for his cases today.</w:t>
            </w:r>
            <w:r w:rsidR="00DD6D3F" w:rsidRPr="000D02C0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0D02C0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How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knowledgeable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was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about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their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AEF21BE" w:rsidR="00260D33" w:rsidRPr="000D02C0" w:rsidRDefault="00871B83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260D33" w:rsidRPr="000D02C0">
              <w:rPr>
                <w:sz w:val="21"/>
              </w:rPr>
              <w:t xml:space="preserve"> appeared to be knowledgeable about his case</w:t>
            </w:r>
            <w:r w:rsidR="00DD6D3F" w:rsidRPr="000D02C0">
              <w:rPr>
                <w:sz w:val="21"/>
              </w:rPr>
              <w:t>s</w:t>
            </w:r>
            <w:r w:rsidR="00260D33" w:rsidRPr="000D02C0">
              <w:rPr>
                <w:sz w:val="21"/>
              </w:rPr>
              <w:t xml:space="preserve">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0D02C0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Attorney's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courtroom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advocacy</w:t>
            </w:r>
            <w:r w:rsidRPr="000D02C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skills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0D66F9E" w:rsidR="00260D33" w:rsidRPr="000D02C0" w:rsidRDefault="00871B83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260D33" w:rsidRPr="000D02C0">
              <w:rPr>
                <w:sz w:val="21"/>
              </w:rPr>
              <w:t xml:space="preserve"> did a good job advocating for his clients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0D02C0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How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was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Attorney/client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260D33" w:rsidRPr="000D02C0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0D02C0">
              <w:rPr>
                <w:sz w:val="21"/>
              </w:rPr>
              <w:t>The attorney-client communication appeared to be good.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0D02C0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0D02C0">
              <w:rPr>
                <w:b/>
                <w:color w:val="231F20"/>
                <w:sz w:val="21"/>
              </w:rPr>
              <w:t>Case</w:t>
            </w:r>
            <w:r w:rsidRPr="000D02C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0D02C0">
              <w:rPr>
                <w:b/>
                <w:color w:val="231F20"/>
                <w:sz w:val="21"/>
              </w:rPr>
              <w:t>Stage-Specific</w:t>
            </w:r>
            <w:r w:rsidRPr="000D02C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0D02C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argue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pretrial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release/OR,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reasonable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0D02C0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BA479E">
              <w:rPr>
                <w:color w:val="231F20"/>
                <w:sz w:val="21"/>
                <w:highlight w:val="yellow"/>
              </w:rPr>
              <w:t>No</w:t>
            </w:r>
            <w:r w:rsidRPr="00BA479E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BA479E">
              <w:rPr>
                <w:color w:val="231F20"/>
                <w:sz w:val="21"/>
                <w:highlight w:val="yellow"/>
              </w:rPr>
              <w:t>/</w:t>
            </w:r>
            <w:r w:rsidRPr="00BA479E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BA47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counsel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each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refrain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from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waiving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trial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rights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until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completed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investigation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of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BA479E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have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counseled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clients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refrain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from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waiving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rights</w:t>
            </w:r>
            <w:r w:rsidRPr="000D02C0">
              <w:rPr>
                <w:color w:val="231F20"/>
                <w:spacing w:val="3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BA479E">
              <w:rPr>
                <w:color w:val="231F20"/>
                <w:sz w:val="21"/>
                <w:highlight w:val="yellow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adequately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advise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clients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of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consequences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accepting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plea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going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trial,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including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any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collateral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A479E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present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mitigating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evidence</w:t>
            </w:r>
            <w:r w:rsidRPr="000D02C0">
              <w:rPr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and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provide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argument</w:t>
            </w:r>
            <w:r w:rsidRPr="000D02C0">
              <w:rPr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A479E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address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Presentence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Investigation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Report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(PSI)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Psychosexual</w:t>
            </w:r>
            <w:r w:rsidRPr="000D02C0">
              <w:rPr>
                <w:color w:val="231F20"/>
                <w:spacing w:val="1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Evaluation/Risk</w:t>
            </w:r>
            <w:r w:rsidRPr="000D02C0">
              <w:rPr>
                <w:color w:val="231F20"/>
                <w:spacing w:val="1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Assessment</w:t>
            </w:r>
            <w:r w:rsidRPr="000D02C0">
              <w:rPr>
                <w:color w:val="231F20"/>
                <w:spacing w:val="14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A479E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court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require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defendant(s)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reimburse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entity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BA479E">
              <w:rPr>
                <w:color w:val="231F20"/>
                <w:sz w:val="21"/>
                <w:highlight w:val="yellow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Pr="005229C9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2145136" w14:textId="596C1D63" w:rsidR="0004322F" w:rsidRPr="00BA479E" w:rsidRDefault="00BA479E" w:rsidP="00B44212">
            <w:pPr>
              <w:pStyle w:val="TableParagraph"/>
              <w:spacing w:line="250" w:lineRule="exact"/>
              <w:rPr>
                <w:bCs/>
                <w:color w:val="231F20"/>
                <w:sz w:val="21"/>
              </w:rPr>
            </w:pPr>
            <w:r w:rsidRPr="00BA479E">
              <w:rPr>
                <w:bCs/>
                <w:color w:val="231F20"/>
                <w:sz w:val="21"/>
              </w:rPr>
              <w:t xml:space="preserve">Thomas had four clients on </w:t>
            </w:r>
            <w:proofErr w:type="gramStart"/>
            <w:r w:rsidRPr="00BA479E">
              <w:rPr>
                <w:bCs/>
                <w:color w:val="231F20"/>
                <w:sz w:val="21"/>
              </w:rPr>
              <w:t>calendar</w:t>
            </w:r>
            <w:proofErr w:type="gramEnd"/>
            <w:r w:rsidRPr="00BA479E">
              <w:rPr>
                <w:bCs/>
                <w:color w:val="231F20"/>
                <w:sz w:val="21"/>
              </w:rPr>
              <w:t xml:space="preserve"> today.</w:t>
            </w:r>
          </w:p>
          <w:p w14:paraId="02D82B49" w14:textId="77777777" w:rsidR="0004322F" w:rsidRDefault="0004322F" w:rsidP="00B44212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</w:p>
          <w:p w14:paraId="5DC19ED1" w14:textId="77777777" w:rsidR="0004322F" w:rsidRDefault="0004322F" w:rsidP="00B44212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</w:p>
          <w:p w14:paraId="41C79071" w14:textId="3A014505" w:rsidR="00B44212" w:rsidRPr="005229C9" w:rsidRDefault="00B44212" w:rsidP="00B44212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1FFD2209" w14:textId="77777777" w:rsidR="00B44212" w:rsidRDefault="00B44212" w:rsidP="00BA479E"/>
          <w:p w14:paraId="39A87235" w14:textId="0522458A" w:rsidR="00BA479E" w:rsidRDefault="00BA479E" w:rsidP="00BA479E">
            <w:pPr>
              <w:pStyle w:val="ListParagraph"/>
              <w:numPr>
                <w:ilvl w:val="0"/>
                <w:numId w:val="9"/>
              </w:numPr>
            </w:pPr>
            <w:r w:rsidRPr="00D74800">
              <w:rPr>
                <w:u w:val="single"/>
              </w:rPr>
              <w:t>First client</w:t>
            </w:r>
            <w:r>
              <w:t xml:space="preserve">: Sentencing hearing. The client was in custody and present in court. </w:t>
            </w:r>
            <w:r>
              <w:t>The PSI was addressed. The defense had 1 correction and 1 clarification. The correction was that the client had graduated from high school. The clarification was that the client had 5 events/cases that resulted in 7 felony convictions and 7 prison sentences.</w:t>
            </w:r>
            <w:r>
              <w:t xml:space="preserve"> </w:t>
            </w:r>
            <w:r>
              <w:t>The State had no corrections.</w:t>
            </w:r>
            <w:r>
              <w:t xml:space="preserve"> </w:t>
            </w:r>
            <w:r>
              <w:t>The defense had filed a Presentence Memorandum prior to today’s sentencing hearing which contained letters from the client and his family. It also contained a sentencing brief by the defense. Prior to sentencing arguments/recommendations, the defense requested a continuance because the substance abuse evaluation intended to be used by the defense at the sentencing hearing had not yet been completed by the evaluator.</w:t>
            </w:r>
            <w:r>
              <w:t xml:space="preserve"> </w:t>
            </w:r>
            <w:r>
              <w:t>The State did not oppose the continuance.</w:t>
            </w:r>
            <w:r>
              <w:t xml:space="preserve"> </w:t>
            </w:r>
            <w:r>
              <w:t>The court continued the sentencing to 3/24/2025 at 1:30 p.m. to enable the evaluator to complete the substance use evaluation.</w:t>
            </w:r>
          </w:p>
          <w:p w14:paraId="4E0951FD" w14:textId="75845BDA" w:rsidR="00BA479E" w:rsidRDefault="00BA479E" w:rsidP="00BA479E">
            <w:pPr>
              <w:pStyle w:val="ListParagraph"/>
              <w:numPr>
                <w:ilvl w:val="0"/>
                <w:numId w:val="9"/>
              </w:numPr>
            </w:pPr>
            <w:r w:rsidRPr="00D74800">
              <w:rPr>
                <w:u w:val="single"/>
              </w:rPr>
              <w:t>Second client</w:t>
            </w:r>
            <w:r>
              <w:t xml:space="preserve">: Arraignment hearing. The client was out-of-custody and appeared by Zoom video from a residential treatment facility for survivors of sex trafficking, sexual assault, and substance use. The program is a one-year residential treatment program. </w:t>
            </w:r>
            <w:r>
              <w:t>The client pled No Contest, pursuant to a Guilty Plea Agreement, to one count of Attempted Possession of a Controlled Substance, a category E felony or gross misdemeanor. Following the court canvass, the court accepted the No Contest plea.</w:t>
            </w:r>
            <w:r>
              <w:t xml:space="preserve"> The </w:t>
            </w:r>
            <w:r>
              <w:t>Sentencing</w:t>
            </w:r>
            <w:r>
              <w:t xml:space="preserve"> hearing is</w:t>
            </w:r>
            <w:r>
              <w:t xml:space="preserve"> set for 5/12/2025 at 1:30 p.m. The client is permitted to appear by Zoom from the treatment facility for the sentencing hearing. </w:t>
            </w:r>
          </w:p>
          <w:p w14:paraId="04208FC5" w14:textId="77777777" w:rsidR="00BA479E" w:rsidRDefault="00BA479E" w:rsidP="00BA479E">
            <w:pPr>
              <w:pStyle w:val="ListParagraph"/>
              <w:numPr>
                <w:ilvl w:val="0"/>
                <w:numId w:val="9"/>
              </w:numPr>
            </w:pPr>
            <w:r w:rsidRPr="00D74800">
              <w:rPr>
                <w:u w:val="single"/>
              </w:rPr>
              <w:t>Third client</w:t>
            </w:r>
            <w:r>
              <w:t>: Sentencing hearing. The client was out-of-custody and appeared in person.</w:t>
            </w:r>
          </w:p>
          <w:p w14:paraId="002C44C3" w14:textId="5C36EF46" w:rsidR="00BA479E" w:rsidRDefault="006B0672" w:rsidP="006B0672">
            <w:pPr>
              <w:pStyle w:val="ListParagraph"/>
              <w:ind w:left="720"/>
            </w:pPr>
            <w:r>
              <w:t xml:space="preserve">The following corrections were made to the </w:t>
            </w:r>
            <w:r w:rsidR="00BA479E">
              <w:t>P</w:t>
            </w:r>
            <w:r>
              <w:t xml:space="preserve">resentence </w:t>
            </w:r>
            <w:r w:rsidR="00BA479E">
              <w:t>I</w:t>
            </w:r>
            <w:r>
              <w:t>nvestigation Report</w:t>
            </w:r>
            <w:r w:rsidR="00BA479E">
              <w:t>:</w:t>
            </w:r>
            <w:r>
              <w:t xml:space="preserve"> The </w:t>
            </w:r>
            <w:r w:rsidR="00BA479E">
              <w:t>Court</w:t>
            </w:r>
            <w:r>
              <w:t xml:space="preserve"> corrected the</w:t>
            </w:r>
            <w:r w:rsidR="00BA479E">
              <w:t xml:space="preserve"> sentencing date to today</w:t>
            </w:r>
            <w:r>
              <w:t>’s date. Thomas corrected the client’s sex offender registration status pointing out that the c</w:t>
            </w:r>
            <w:r w:rsidR="00BA479E">
              <w:t>lient is currently and properly registered a</w:t>
            </w:r>
            <w:r>
              <w:t>s a</w:t>
            </w:r>
            <w:r w:rsidR="00BA479E">
              <w:t xml:space="preserve"> sex offender in Utah where he resides.</w:t>
            </w:r>
            <w:r>
              <w:t xml:space="preserve"> The S</w:t>
            </w:r>
            <w:r w:rsidR="00BA479E">
              <w:t>tate</w:t>
            </w:r>
            <w:r>
              <w:t xml:space="preserve"> made</w:t>
            </w:r>
            <w:r w:rsidR="00BA479E">
              <w:t xml:space="preserve"> no corrections</w:t>
            </w:r>
            <w:r>
              <w:t xml:space="preserve">. </w:t>
            </w:r>
            <w:r w:rsidR="00BA479E">
              <w:t>Thomas submitted letters in support of the client prior to the sentencing hearing. The State recommended, pursuant to the Guilty Plea Agreement, a sentence of 12-48 months prison, suspended with probation.</w:t>
            </w:r>
            <w:r>
              <w:t xml:space="preserve"> </w:t>
            </w:r>
            <w:r w:rsidR="00BA479E">
              <w:t>Thomas argued for a suspended sentence of 12-30 months with probation.</w:t>
            </w:r>
            <w:r>
              <w:t xml:space="preserve"> The c</w:t>
            </w:r>
            <w:r w:rsidR="00BA479E">
              <w:t>lient made a statement in allocation.</w:t>
            </w:r>
            <w:r>
              <w:t xml:space="preserve"> The court imposed the following sentence: </w:t>
            </w:r>
            <w:r w:rsidR="00BA479E">
              <w:t>$25 Administrative Assessment fee, $3 DNA assessment fee</w:t>
            </w:r>
            <w:r>
              <w:t xml:space="preserve">, </w:t>
            </w:r>
            <w:r w:rsidR="00BA479E">
              <w:t>19-48 months</w:t>
            </w:r>
            <w:r>
              <w:t xml:space="preserve"> in the</w:t>
            </w:r>
            <w:r w:rsidR="00BA479E">
              <w:t xml:space="preserve"> N</w:t>
            </w:r>
            <w:r>
              <w:t>evada Department of Corrections</w:t>
            </w:r>
            <w:r w:rsidR="00BA479E">
              <w:t>, suspended for 24 months with conditions of probation. The court left it to the discretion of Parole and Probation whether the client could use medical marijuana while on probation.</w:t>
            </w:r>
            <w:r>
              <w:t xml:space="preserve"> </w:t>
            </w:r>
            <w:r w:rsidR="00BA479E">
              <w:t>The court ordered that the bail bond be exonerated.</w:t>
            </w:r>
          </w:p>
          <w:p w14:paraId="3B893093" w14:textId="62CD7328" w:rsidR="00BA479E" w:rsidRPr="005229C9" w:rsidRDefault="00A13569" w:rsidP="00A13569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 w:rsidRPr="00D74800">
              <w:rPr>
                <w:u w:val="single"/>
              </w:rPr>
              <w:t>Fourth client</w:t>
            </w:r>
            <w:r>
              <w:t xml:space="preserve">: Sentencing hearing. </w:t>
            </w:r>
            <w:r>
              <w:t>The client was out-of-custody and appeared in person.</w:t>
            </w:r>
            <w:r>
              <w:t xml:space="preserve"> No corrections were made to the Presentence Investigation report. </w:t>
            </w:r>
            <w:r>
              <w:t>Pursuant to the GPA, the parties both recommended a Deferred Sentencing/Deferred Judgment with probation supervision.</w:t>
            </w:r>
            <w:r>
              <w:t xml:space="preserve"> The court followed the joint recommendation and deferred sentencing pursuant to NRS 176.111 for 12 months with conditions that the client obtain </w:t>
            </w:r>
            <w:r>
              <w:t xml:space="preserve">a Substance Use Evaluation within 30 days and follow </w:t>
            </w:r>
            <w:proofErr w:type="gramStart"/>
            <w:r>
              <w:t>any and all</w:t>
            </w:r>
            <w:proofErr w:type="gramEnd"/>
            <w:r>
              <w:t xml:space="preserve"> treatment recommendations</w:t>
            </w:r>
            <w:r>
              <w:t>, n</w:t>
            </w:r>
            <w:r>
              <w:t xml:space="preserve">ot possess or consume any drugs or alcohol or </w:t>
            </w:r>
            <w:proofErr w:type="gramStart"/>
            <w:r>
              <w:t>marijuana</w:t>
            </w:r>
            <w:r>
              <w:t>, and</w:t>
            </w:r>
            <w:proofErr w:type="gramEnd"/>
            <w:r>
              <w:t xml:space="preserve"> be under the s</w:t>
            </w:r>
            <w:r>
              <w:t xml:space="preserve">upervision </w:t>
            </w:r>
            <w:r>
              <w:t>of</w:t>
            </w:r>
            <w:r>
              <w:t xml:space="preserve"> the Division of Parole and Probation with all standard conditions of probation.</w:t>
            </w: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14F620E5" w14:textId="77777777" w:rsidR="00260D33" w:rsidRDefault="00260D33" w:rsidP="00260D33">
            <w:pPr>
              <w:pStyle w:val="BodyText"/>
              <w:rPr>
                <w:bCs w:val="0"/>
              </w:rPr>
            </w:pPr>
          </w:p>
          <w:p w14:paraId="031EE9DD" w14:textId="77777777" w:rsidR="00D74800" w:rsidRDefault="00D74800" w:rsidP="00260D33">
            <w:pPr>
              <w:pStyle w:val="BodyText"/>
              <w:rPr>
                <w:bCs w:val="0"/>
              </w:rPr>
            </w:pPr>
          </w:p>
          <w:p w14:paraId="62E2B6BD" w14:textId="77777777" w:rsidR="00D74800" w:rsidRDefault="00D74800" w:rsidP="00260D33">
            <w:pPr>
              <w:pStyle w:val="BodyText"/>
              <w:rPr>
                <w:bCs w:val="0"/>
              </w:rPr>
            </w:pPr>
          </w:p>
          <w:p w14:paraId="664EE766" w14:textId="77777777" w:rsidR="00D74800" w:rsidRDefault="00D74800" w:rsidP="00260D33">
            <w:pPr>
              <w:pStyle w:val="BodyText"/>
              <w:rPr>
                <w:bCs w:val="0"/>
              </w:rPr>
            </w:pPr>
          </w:p>
          <w:p w14:paraId="13448A13" w14:textId="77777777" w:rsidR="00D74800" w:rsidRDefault="00D74800" w:rsidP="00260D33">
            <w:pPr>
              <w:pStyle w:val="BodyText"/>
              <w:rPr>
                <w:bCs w:val="0"/>
              </w:rPr>
            </w:pPr>
          </w:p>
          <w:p w14:paraId="72DEE701" w14:textId="77777777" w:rsidR="00D74800" w:rsidRDefault="00D74800" w:rsidP="00260D33">
            <w:pPr>
              <w:pStyle w:val="BodyText"/>
              <w:rPr>
                <w:bCs w:val="0"/>
              </w:rPr>
            </w:pPr>
          </w:p>
          <w:p w14:paraId="7E29ED43" w14:textId="77777777" w:rsidR="00D74800" w:rsidRDefault="00D74800" w:rsidP="00260D33">
            <w:pPr>
              <w:pStyle w:val="BodyText"/>
              <w:rPr>
                <w:bCs w:val="0"/>
              </w:rPr>
            </w:pPr>
          </w:p>
          <w:p w14:paraId="27CBD336" w14:textId="74F60ED1" w:rsidR="00D74800" w:rsidRPr="005229C9" w:rsidRDefault="00D74800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110B2"/>
    <w:multiLevelType w:val="hybridMultilevel"/>
    <w:tmpl w:val="352A0CE8"/>
    <w:lvl w:ilvl="0" w:tplc="B0E0103C">
      <w:start w:val="36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6" w15:restartNumberingAfterBreak="0">
    <w:nsid w:val="396816D8"/>
    <w:multiLevelType w:val="hybridMultilevel"/>
    <w:tmpl w:val="6BDC4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C5E12"/>
    <w:multiLevelType w:val="hybridMultilevel"/>
    <w:tmpl w:val="18BE7FB6"/>
    <w:lvl w:ilvl="0" w:tplc="AB7C4F4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" w15:restartNumberingAfterBreak="0">
    <w:nsid w:val="66ED4EF0"/>
    <w:multiLevelType w:val="hybridMultilevel"/>
    <w:tmpl w:val="9E00D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5"/>
  </w:num>
  <w:num w:numId="2" w16cid:durableId="671107611">
    <w:abstractNumId w:val="3"/>
  </w:num>
  <w:num w:numId="3" w16cid:durableId="908267193">
    <w:abstractNumId w:val="11"/>
  </w:num>
  <w:num w:numId="4" w16cid:durableId="2069066387">
    <w:abstractNumId w:val="8"/>
  </w:num>
  <w:num w:numId="5" w16cid:durableId="1176847504">
    <w:abstractNumId w:val="1"/>
  </w:num>
  <w:num w:numId="6" w16cid:durableId="1468932025">
    <w:abstractNumId w:val="4"/>
  </w:num>
  <w:num w:numId="7" w16cid:durableId="448742528">
    <w:abstractNumId w:val="9"/>
  </w:num>
  <w:num w:numId="8" w16cid:durableId="1613049364">
    <w:abstractNumId w:val="2"/>
  </w:num>
  <w:num w:numId="9" w16cid:durableId="541408260">
    <w:abstractNumId w:val="6"/>
  </w:num>
  <w:num w:numId="10" w16cid:durableId="52587355">
    <w:abstractNumId w:val="7"/>
  </w:num>
  <w:num w:numId="11" w16cid:durableId="628363753">
    <w:abstractNumId w:val="10"/>
  </w:num>
  <w:num w:numId="12" w16cid:durableId="9178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4322F"/>
    <w:rsid w:val="0008100F"/>
    <w:rsid w:val="000B1FDF"/>
    <w:rsid w:val="000D02C0"/>
    <w:rsid w:val="0010521A"/>
    <w:rsid w:val="001305EC"/>
    <w:rsid w:val="00146AF0"/>
    <w:rsid w:val="001628B1"/>
    <w:rsid w:val="00162F2C"/>
    <w:rsid w:val="00167EE2"/>
    <w:rsid w:val="001858E3"/>
    <w:rsid w:val="00197E74"/>
    <w:rsid w:val="001A00F0"/>
    <w:rsid w:val="001B3EED"/>
    <w:rsid w:val="001D615B"/>
    <w:rsid w:val="001D79DE"/>
    <w:rsid w:val="00210F9D"/>
    <w:rsid w:val="0022184F"/>
    <w:rsid w:val="00230146"/>
    <w:rsid w:val="002358A4"/>
    <w:rsid w:val="00245638"/>
    <w:rsid w:val="0025077E"/>
    <w:rsid w:val="00256D6C"/>
    <w:rsid w:val="002608B8"/>
    <w:rsid w:val="00260D33"/>
    <w:rsid w:val="002F30D2"/>
    <w:rsid w:val="0032002B"/>
    <w:rsid w:val="00320D12"/>
    <w:rsid w:val="003601CE"/>
    <w:rsid w:val="003737E1"/>
    <w:rsid w:val="003A69B1"/>
    <w:rsid w:val="003B010C"/>
    <w:rsid w:val="003B0864"/>
    <w:rsid w:val="003B5049"/>
    <w:rsid w:val="003E1670"/>
    <w:rsid w:val="003F104B"/>
    <w:rsid w:val="004144FB"/>
    <w:rsid w:val="00431078"/>
    <w:rsid w:val="00447B2E"/>
    <w:rsid w:val="0045081F"/>
    <w:rsid w:val="00452380"/>
    <w:rsid w:val="00481987"/>
    <w:rsid w:val="0049612C"/>
    <w:rsid w:val="004B241C"/>
    <w:rsid w:val="005229C9"/>
    <w:rsid w:val="0054258F"/>
    <w:rsid w:val="00552654"/>
    <w:rsid w:val="00566083"/>
    <w:rsid w:val="005E7B10"/>
    <w:rsid w:val="00602BA9"/>
    <w:rsid w:val="00604E6C"/>
    <w:rsid w:val="0060656C"/>
    <w:rsid w:val="00614CD6"/>
    <w:rsid w:val="00625916"/>
    <w:rsid w:val="006625DD"/>
    <w:rsid w:val="0066578A"/>
    <w:rsid w:val="00695340"/>
    <w:rsid w:val="006B0672"/>
    <w:rsid w:val="006B5F2C"/>
    <w:rsid w:val="006D30BC"/>
    <w:rsid w:val="006F7345"/>
    <w:rsid w:val="007015BA"/>
    <w:rsid w:val="00723B2F"/>
    <w:rsid w:val="00750B64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71B83"/>
    <w:rsid w:val="0089169D"/>
    <w:rsid w:val="008B270D"/>
    <w:rsid w:val="00930EA9"/>
    <w:rsid w:val="009438E1"/>
    <w:rsid w:val="00947D18"/>
    <w:rsid w:val="009569DD"/>
    <w:rsid w:val="00980DC6"/>
    <w:rsid w:val="009928D6"/>
    <w:rsid w:val="009B040E"/>
    <w:rsid w:val="009B0ECA"/>
    <w:rsid w:val="009B6950"/>
    <w:rsid w:val="009D122A"/>
    <w:rsid w:val="009F12B3"/>
    <w:rsid w:val="00A13569"/>
    <w:rsid w:val="00A60E66"/>
    <w:rsid w:val="00A728BC"/>
    <w:rsid w:val="00A73DAE"/>
    <w:rsid w:val="00A8637F"/>
    <w:rsid w:val="00A978E4"/>
    <w:rsid w:val="00AB19B5"/>
    <w:rsid w:val="00AD09A8"/>
    <w:rsid w:val="00AD3938"/>
    <w:rsid w:val="00B05524"/>
    <w:rsid w:val="00B44212"/>
    <w:rsid w:val="00B6197C"/>
    <w:rsid w:val="00B6420B"/>
    <w:rsid w:val="00BA479E"/>
    <w:rsid w:val="00BA5474"/>
    <w:rsid w:val="00BA6939"/>
    <w:rsid w:val="00BB379E"/>
    <w:rsid w:val="00BD72D8"/>
    <w:rsid w:val="00BF14D8"/>
    <w:rsid w:val="00C47475"/>
    <w:rsid w:val="00C919DC"/>
    <w:rsid w:val="00C9265C"/>
    <w:rsid w:val="00CB3BA5"/>
    <w:rsid w:val="00CC14E0"/>
    <w:rsid w:val="00CD503D"/>
    <w:rsid w:val="00CD53C5"/>
    <w:rsid w:val="00CF0219"/>
    <w:rsid w:val="00D17299"/>
    <w:rsid w:val="00D2249D"/>
    <w:rsid w:val="00D248C4"/>
    <w:rsid w:val="00D42E44"/>
    <w:rsid w:val="00D7404F"/>
    <w:rsid w:val="00D74800"/>
    <w:rsid w:val="00D82F64"/>
    <w:rsid w:val="00DA15AB"/>
    <w:rsid w:val="00DA2B60"/>
    <w:rsid w:val="00DB6810"/>
    <w:rsid w:val="00DC0DB2"/>
    <w:rsid w:val="00DC3DE3"/>
    <w:rsid w:val="00DD5F67"/>
    <w:rsid w:val="00DD6D3F"/>
    <w:rsid w:val="00E015DB"/>
    <w:rsid w:val="00E046A6"/>
    <w:rsid w:val="00E27832"/>
    <w:rsid w:val="00E57505"/>
    <w:rsid w:val="00E8581F"/>
    <w:rsid w:val="00EB2AEF"/>
    <w:rsid w:val="00EB63A2"/>
    <w:rsid w:val="00ED3C87"/>
    <w:rsid w:val="00EF2DDF"/>
    <w:rsid w:val="00EF4ADD"/>
    <w:rsid w:val="00F00E0C"/>
    <w:rsid w:val="00F0539A"/>
    <w:rsid w:val="00F16B5A"/>
    <w:rsid w:val="00F265CF"/>
    <w:rsid w:val="00F33D21"/>
    <w:rsid w:val="00F36D7D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47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479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2025-04-27T19:15:00Z</dcterms:created>
  <dcterms:modified xsi:type="dcterms:W3CDTF">2025-04-27T21:12:00Z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