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122"/>
        <w:gridCol w:w="3193"/>
        <w:gridCol w:w="1977"/>
        <w:gridCol w:w="3078"/>
      </w:tblGrid>
      <w:tr w:rsidR="00F00E0C" w14:paraId="3EB878DD" w14:textId="77777777" w:rsidTr="00260D33">
        <w:trPr>
          <w:trHeight w:val="252"/>
        </w:trPr>
        <w:tc>
          <w:tcPr>
            <w:tcW w:w="5315" w:type="dxa"/>
            <w:gridSpan w:val="2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77" w:type="dxa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78" w:type="dxa"/>
          </w:tcPr>
          <w:p w14:paraId="4809E58F" w14:textId="7DF265D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 w:rsidTr="00260D33">
        <w:trPr>
          <w:trHeight w:val="253"/>
        </w:trPr>
        <w:tc>
          <w:tcPr>
            <w:tcW w:w="2122" w:type="dxa"/>
            <w:shd w:val="clear" w:color="auto" w:fill="DBE5F1" w:themeFill="accent1" w:themeFillTint="33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93" w:type="dxa"/>
          </w:tcPr>
          <w:p w14:paraId="44D4EF5E" w14:textId="07B44FE1" w:rsidR="00F00E0C" w:rsidRDefault="006E2D5C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February 3</w:t>
            </w:r>
            <w:r w:rsidR="0060656C">
              <w:rPr>
                <w:rFonts w:ascii="Arial"/>
                <w:sz w:val="18"/>
              </w:rPr>
              <w:t>, 2025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78" w:type="dxa"/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93" w:type="dxa"/>
          </w:tcPr>
          <w:p w14:paraId="76682FE6" w14:textId="0B977559" w:rsidR="00F00E0C" w:rsidRDefault="006D30B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Fourth Judicial District Court Dept </w:t>
            </w:r>
            <w:r w:rsidR="00210F9D">
              <w:rPr>
                <w:rFonts w:ascii="Arial"/>
                <w:sz w:val="18"/>
              </w:rPr>
              <w:t>3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78" w:type="dxa"/>
          </w:tcPr>
          <w:p w14:paraId="7A64084A" w14:textId="60B84959" w:rsidR="00F00E0C" w:rsidRDefault="00210F9D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</w:t>
            </w:r>
            <w:r w:rsidR="008061ED">
              <w:rPr>
                <w:rFonts w:ascii="Arial"/>
                <w:sz w:val="18"/>
              </w:rPr>
              <w:t>ason</w:t>
            </w:r>
            <w:r>
              <w:rPr>
                <w:rFonts w:ascii="Arial"/>
                <w:sz w:val="18"/>
              </w:rPr>
              <w:t xml:space="preserve"> Simons</w:t>
            </w:r>
          </w:p>
        </w:tc>
      </w:tr>
      <w:tr w:rsidR="00F00E0C" w14:paraId="17DFE13A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93" w:type="dxa"/>
          </w:tcPr>
          <w:p w14:paraId="07CE257C" w14:textId="4663ADA3" w:rsidR="00DB6810" w:rsidRDefault="006E2D5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Ben Gaumond</w:t>
            </w:r>
          </w:p>
          <w:p w14:paraId="20C03F20" w14:textId="0F6CFAEE" w:rsidR="00A60E66" w:rsidRDefault="006E2D5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Assigned Indigent Defense Attorney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78" w:type="dxa"/>
          </w:tcPr>
          <w:p w14:paraId="57931F72" w14:textId="79343E44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E2D5C">
              <w:rPr>
                <w:rFonts w:ascii="Arial" w:hAnsi="Arial" w:cs="Arial"/>
                <w:sz w:val="18"/>
              </w:rPr>
              <w:t>Jeff Slade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20D12" w14:paraId="59E60A97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02D02ED0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Attorney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07A092A5" w14:textId="77777777" w:rsidR="00F00E0C" w:rsidRPr="005229C9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6E2D5C">
              <w:rPr>
                <w:color w:val="231F20"/>
                <w:sz w:val="21"/>
                <w:highlight w:val="yellow"/>
              </w:rPr>
              <w:t>In</w:t>
            </w:r>
            <w:r w:rsidRPr="006E2D5C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6E2D5C">
              <w:rPr>
                <w:color w:val="231F20"/>
                <w:sz w:val="21"/>
                <w:highlight w:val="yellow"/>
              </w:rPr>
              <w:t>Person</w:t>
            </w:r>
            <w:r w:rsidRPr="005229C9">
              <w:rPr>
                <w:color w:val="231F20"/>
                <w:spacing w:val="3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Virtual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36267672" w14:textId="77777777" w:rsidR="00F00E0C" w:rsidRPr="005229C9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Number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of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78" w:type="dxa"/>
          </w:tcPr>
          <w:p w14:paraId="7C9ACE37" w14:textId="7C00A6E8" w:rsidR="00F00E0C" w:rsidRPr="005229C9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5229C9">
              <w:rPr>
                <w:rFonts w:ascii="Arial" w:hAnsi="Arial" w:cs="Arial"/>
                <w:sz w:val="18"/>
              </w:rPr>
              <w:t xml:space="preserve"> </w:t>
            </w:r>
            <w:r w:rsidR="006E2D5C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20D12" w14:paraId="08A08BDD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931315F" w14:textId="77777777" w:rsidR="00F00E0C" w:rsidRPr="00320D12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Defendants</w:t>
            </w:r>
            <w:r w:rsidRPr="00320D12">
              <w:rPr>
                <w:color w:val="231F20"/>
                <w:spacing w:val="11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93" w:type="dxa"/>
          </w:tcPr>
          <w:p w14:paraId="1F4006A5" w14:textId="015A67E0" w:rsidR="00F00E0C" w:rsidRPr="005229C9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6E2D5C">
              <w:rPr>
                <w:color w:val="231F20"/>
                <w:sz w:val="21"/>
                <w:highlight w:val="yellow"/>
              </w:rPr>
              <w:t>In</w:t>
            </w:r>
            <w:r w:rsidRPr="006E2D5C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6E2D5C">
              <w:rPr>
                <w:color w:val="231F20"/>
                <w:sz w:val="21"/>
                <w:highlight w:val="yellow"/>
              </w:rPr>
              <w:t>Person</w:t>
            </w:r>
            <w:r w:rsidRPr="005229C9">
              <w:rPr>
                <w:color w:val="231F20"/>
                <w:spacing w:val="5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Virtual</w:t>
            </w:r>
            <w:r w:rsidRPr="005229C9">
              <w:rPr>
                <w:color w:val="231F20"/>
                <w:spacing w:val="5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5229C9">
              <w:rPr>
                <w:color w:val="231F20"/>
                <w:sz w:val="21"/>
              </w:rPr>
              <w:t>Off-Site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764BA874" w14:textId="77777777" w:rsidR="00F00E0C" w:rsidRPr="005229C9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Custodial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78" w:type="dxa"/>
          </w:tcPr>
          <w:p w14:paraId="4F8A530A" w14:textId="77777777" w:rsidR="00F00E0C" w:rsidRPr="005229C9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6E2D5C">
              <w:rPr>
                <w:color w:val="231F20"/>
                <w:sz w:val="21"/>
                <w:highlight w:val="yellow"/>
              </w:rPr>
              <w:t>IC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OOC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2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260D33" w:rsidRPr="00320D12" w14:paraId="37484DDC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67A890B7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20E9F027" w14:textId="48C4B291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49AEC77B" w14:textId="422681DD" w:rsidR="00260D33" w:rsidRPr="005229C9" w:rsidRDefault="006E2D5C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42090E09" w14:textId="77777777" w:rsidR="00260D33" w:rsidRPr="005229C9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Number of Clients</w:t>
            </w:r>
          </w:p>
          <w:p w14:paraId="5127A62E" w14:textId="706C57A4" w:rsidR="00260D33" w:rsidRPr="005229C9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791F0D25" w14:textId="076B2FC2" w:rsidR="00260D33" w:rsidRPr="005229C9" w:rsidRDefault="00260D33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25CBABD4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3613DEA6" w14:textId="77777777" w:rsidR="00260D33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5DC355C5" w14:textId="3351507C" w:rsidR="00260D33" w:rsidRPr="00320D12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93" w:type="dxa"/>
          </w:tcPr>
          <w:p w14:paraId="29BE45A7" w14:textId="51897824" w:rsidR="00260D33" w:rsidRPr="005229C9" w:rsidRDefault="00260D33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0</w:t>
            </w:r>
          </w:p>
        </w:tc>
        <w:tc>
          <w:tcPr>
            <w:tcW w:w="1977" w:type="dxa"/>
            <w:shd w:val="clear" w:color="auto" w:fill="DBE5F1" w:themeFill="accent1" w:themeFillTint="33"/>
          </w:tcPr>
          <w:p w14:paraId="21D2E7C7" w14:textId="77777777" w:rsidR="00260D33" w:rsidRPr="005229C9" w:rsidRDefault="00260D33" w:rsidP="00260D33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Cases Continued</w:t>
            </w:r>
          </w:p>
          <w:p w14:paraId="0382DE67" w14:textId="331289F2" w:rsidR="00260D33" w:rsidRPr="005229C9" w:rsidRDefault="00260D33" w:rsidP="00260D33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Out-of-Custody</w:t>
            </w:r>
          </w:p>
        </w:tc>
        <w:tc>
          <w:tcPr>
            <w:tcW w:w="3078" w:type="dxa"/>
          </w:tcPr>
          <w:p w14:paraId="4E9ADAE0" w14:textId="6942DBC8" w:rsidR="00260D33" w:rsidRPr="005229C9" w:rsidRDefault="00260D33" w:rsidP="005229C9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5229C9">
              <w:rPr>
                <w:color w:val="231F20"/>
                <w:sz w:val="21"/>
              </w:rPr>
              <w:t>0</w:t>
            </w:r>
          </w:p>
        </w:tc>
      </w:tr>
      <w:tr w:rsidR="00260D33" w:rsidRPr="00320D12" w14:paraId="6AB8E4C8" w14:textId="77777777" w:rsidTr="00260D33">
        <w:trPr>
          <w:trHeight w:val="265"/>
        </w:trPr>
        <w:tc>
          <w:tcPr>
            <w:tcW w:w="2122" w:type="dxa"/>
            <w:shd w:val="clear" w:color="auto" w:fill="DBE5F1" w:themeFill="accent1" w:themeFillTint="33"/>
          </w:tcPr>
          <w:p w14:paraId="12225FF9" w14:textId="77777777" w:rsidR="00260D33" w:rsidRPr="00320D12" w:rsidRDefault="00260D33" w:rsidP="00260D33">
            <w:pPr>
              <w:pStyle w:val="TableParagraph"/>
              <w:spacing w:line="245" w:lineRule="exact"/>
              <w:rPr>
                <w:sz w:val="21"/>
              </w:rPr>
            </w:pPr>
            <w:r w:rsidRPr="00320D12">
              <w:rPr>
                <w:color w:val="231F20"/>
                <w:sz w:val="21"/>
              </w:rPr>
              <w:t>Hearing</w:t>
            </w:r>
            <w:r w:rsidRPr="00320D12">
              <w:rPr>
                <w:color w:val="231F20"/>
                <w:spacing w:val="7"/>
                <w:sz w:val="21"/>
              </w:rPr>
              <w:t xml:space="preserve"> </w:t>
            </w:r>
            <w:r w:rsidRPr="00320D12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248" w:type="dxa"/>
            <w:gridSpan w:val="3"/>
          </w:tcPr>
          <w:p w14:paraId="4BC8A042" w14:textId="577208A4" w:rsidR="00260D33" w:rsidRPr="005229C9" w:rsidRDefault="006E2D5C" w:rsidP="00260D33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Non-Technical Probation Violation Hearing</w:t>
            </w:r>
          </w:p>
        </w:tc>
      </w:tr>
      <w:tr w:rsidR="00260D33" w:rsidRPr="00320D12" w14:paraId="40417ACE" w14:textId="77777777" w:rsidTr="00260D33">
        <w:trPr>
          <w:trHeight w:val="253"/>
        </w:trPr>
        <w:tc>
          <w:tcPr>
            <w:tcW w:w="10370" w:type="dxa"/>
            <w:gridSpan w:val="4"/>
          </w:tcPr>
          <w:p w14:paraId="522DC092" w14:textId="77777777" w:rsidR="00260D33" w:rsidRPr="005229C9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Attorney's</w:t>
            </w:r>
            <w:r w:rsidRPr="005229C9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260D33" w:rsidRPr="0060656C" w14:paraId="0F9B19C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2B10FB8B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for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458EBAA5" w14:textId="77777777" w:rsidR="00260D33" w:rsidRPr="005229C9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63393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DF1810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C395005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78" w:type="dxa"/>
          </w:tcPr>
          <w:p w14:paraId="4DBFB066" w14:textId="77777777" w:rsidR="00260D33" w:rsidRPr="005229C9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63393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0487021F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02AB03F2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had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substantive,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confidential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meeting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260D33" w:rsidRPr="005229C9" w:rsidRDefault="00260D33" w:rsidP="00260D33">
            <w:pPr>
              <w:pStyle w:val="TableParagraph"/>
              <w:spacing w:before="29" w:line="24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each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client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before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78" w:type="dxa"/>
          </w:tcPr>
          <w:p w14:paraId="549C2011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63393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634F2F22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4A691FD9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prepared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handle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clients'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78" w:type="dxa"/>
          </w:tcPr>
          <w:p w14:paraId="3DF7B7B3" w14:textId="77777777" w:rsidR="00260D33" w:rsidRPr="005229C9" w:rsidRDefault="00260D33" w:rsidP="00260D33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63393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CB9DF93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39C1A97" w14:textId="77777777" w:rsidR="00260D33" w:rsidRPr="005229C9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229C9">
              <w:rPr>
                <w:b/>
                <w:bCs/>
                <w:color w:val="231F20"/>
                <w:sz w:val="21"/>
              </w:rPr>
              <w:t>How</w:t>
            </w:r>
            <w:r w:rsidRPr="005229C9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prepared</w:t>
            </w:r>
            <w:r w:rsidRPr="005229C9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did</w:t>
            </w:r>
            <w:r w:rsidRPr="005229C9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the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Attorney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2B69191D" w:rsidR="00260D33" w:rsidRPr="005229C9" w:rsidRDefault="00463393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Ben</w:t>
            </w:r>
            <w:r w:rsidR="00260D33" w:rsidRPr="005229C9">
              <w:rPr>
                <w:sz w:val="21"/>
              </w:rPr>
              <w:t xml:space="preserve"> appeared to be prepared for his case today.</w:t>
            </w:r>
          </w:p>
        </w:tc>
      </w:tr>
      <w:tr w:rsidR="00260D33" w:rsidRPr="0060656C" w14:paraId="4AB58779" w14:textId="77777777" w:rsidTr="00260D33">
        <w:trPr>
          <w:trHeight w:val="834"/>
        </w:trPr>
        <w:tc>
          <w:tcPr>
            <w:tcW w:w="10370" w:type="dxa"/>
            <w:gridSpan w:val="4"/>
          </w:tcPr>
          <w:p w14:paraId="16C94BFD" w14:textId="77777777" w:rsidR="00260D33" w:rsidRPr="005229C9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229C9">
              <w:rPr>
                <w:b/>
                <w:bCs/>
                <w:color w:val="231F20"/>
                <w:sz w:val="21"/>
              </w:rPr>
              <w:t>How</w:t>
            </w:r>
            <w:r w:rsidRPr="005229C9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knowledgeable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was</w:t>
            </w:r>
            <w:r w:rsidRPr="005229C9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the</w:t>
            </w:r>
            <w:r w:rsidRPr="005229C9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Attorney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about</w:t>
            </w:r>
            <w:r w:rsidRPr="005229C9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their</w:t>
            </w:r>
            <w:r w:rsidRPr="005229C9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5EB88B1" w:rsidR="00260D33" w:rsidRPr="005229C9" w:rsidRDefault="00463393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Ben</w:t>
            </w:r>
            <w:r w:rsidR="00260D33" w:rsidRPr="005229C9">
              <w:rPr>
                <w:sz w:val="21"/>
              </w:rPr>
              <w:t xml:space="preserve"> appeared to be knowledgeable about his case today.</w:t>
            </w:r>
          </w:p>
        </w:tc>
      </w:tr>
      <w:tr w:rsidR="00260D33" w:rsidRPr="0060656C" w14:paraId="76BDBC4F" w14:textId="77777777" w:rsidTr="00260D33">
        <w:trPr>
          <w:trHeight w:val="834"/>
        </w:trPr>
        <w:tc>
          <w:tcPr>
            <w:tcW w:w="10370" w:type="dxa"/>
            <w:gridSpan w:val="4"/>
          </w:tcPr>
          <w:p w14:paraId="656CA812" w14:textId="77777777" w:rsidR="00260D33" w:rsidRPr="005229C9" w:rsidRDefault="00260D33" w:rsidP="00260D33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5229C9">
              <w:rPr>
                <w:b/>
                <w:bCs/>
                <w:color w:val="231F20"/>
                <w:sz w:val="21"/>
              </w:rPr>
              <w:t>The</w:t>
            </w:r>
            <w:r w:rsidRPr="005229C9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Attorney's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courtroom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advocacy</w:t>
            </w:r>
            <w:r w:rsidRPr="005229C9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skills</w:t>
            </w:r>
            <w:r w:rsidRPr="005229C9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259654FB" w:rsidR="00260D33" w:rsidRPr="005229C9" w:rsidRDefault="00463393" w:rsidP="00260D33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Ben</w:t>
            </w:r>
            <w:r w:rsidR="00260D33" w:rsidRPr="005229C9">
              <w:rPr>
                <w:sz w:val="21"/>
              </w:rPr>
              <w:t xml:space="preserve"> did a good job advocating for his clients during the court hearing.</w:t>
            </w:r>
          </w:p>
        </w:tc>
      </w:tr>
      <w:tr w:rsidR="00260D33" w:rsidRPr="0060656C" w14:paraId="36A3BF52" w14:textId="77777777" w:rsidTr="00260D33">
        <w:trPr>
          <w:trHeight w:val="821"/>
        </w:trPr>
        <w:tc>
          <w:tcPr>
            <w:tcW w:w="10370" w:type="dxa"/>
            <w:gridSpan w:val="4"/>
          </w:tcPr>
          <w:p w14:paraId="12330BDD" w14:textId="10A1DAD5" w:rsidR="00260D33" w:rsidRPr="005229C9" w:rsidRDefault="00260D33" w:rsidP="00260D33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229C9">
              <w:rPr>
                <w:b/>
                <w:bCs/>
                <w:color w:val="231F20"/>
                <w:sz w:val="21"/>
              </w:rPr>
              <w:t>How</w:t>
            </w:r>
            <w:r w:rsidRPr="005229C9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was</w:t>
            </w:r>
            <w:r w:rsidRPr="005229C9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the</w:t>
            </w:r>
            <w:r w:rsidRPr="005229C9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z w:val="21"/>
              </w:rPr>
              <w:t>Attorney/client</w:t>
            </w:r>
            <w:r w:rsidRPr="005229C9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6FA6845" w:rsidR="00260D33" w:rsidRPr="005229C9" w:rsidRDefault="00260D33" w:rsidP="00260D33">
            <w:pPr>
              <w:pStyle w:val="TableParagraph"/>
              <w:spacing w:before="6"/>
              <w:rPr>
                <w:sz w:val="21"/>
              </w:rPr>
            </w:pPr>
            <w:r w:rsidRPr="005229C9">
              <w:rPr>
                <w:sz w:val="21"/>
              </w:rPr>
              <w:t>The attorney-client communication appeared to be good.</w:t>
            </w:r>
          </w:p>
        </w:tc>
      </w:tr>
      <w:tr w:rsidR="00260D33" w:rsidRPr="0060656C" w14:paraId="779CDC39" w14:textId="77777777" w:rsidTr="00260D33">
        <w:trPr>
          <w:trHeight w:val="253"/>
        </w:trPr>
        <w:tc>
          <w:tcPr>
            <w:tcW w:w="10370" w:type="dxa"/>
            <w:gridSpan w:val="4"/>
          </w:tcPr>
          <w:p w14:paraId="42EF765E" w14:textId="77777777" w:rsidR="00260D33" w:rsidRPr="005229C9" w:rsidRDefault="00260D33" w:rsidP="00260D33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Case</w:t>
            </w:r>
            <w:r w:rsidRPr="005229C9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Stage-Specific</w:t>
            </w:r>
            <w:r w:rsidRPr="005229C9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260D33" w:rsidRPr="0060656C" w14:paraId="43557011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FFCC66"/>
          </w:tcPr>
          <w:p w14:paraId="57B95C02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argue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for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pretrial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release/OR,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for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reasonable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78" w:type="dxa"/>
          </w:tcPr>
          <w:p w14:paraId="7D0BA8BE" w14:textId="77777777" w:rsidR="00260D33" w:rsidRPr="005229C9" w:rsidRDefault="00260D33" w:rsidP="00260D33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463393">
              <w:rPr>
                <w:color w:val="231F20"/>
                <w:sz w:val="21"/>
                <w:highlight w:val="yellow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4D191DF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3FB91D82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counsel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each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client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refrain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from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waiving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trial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rights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until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260D33" w:rsidRPr="005229C9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completed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investigation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of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78" w:type="dxa"/>
          </w:tcPr>
          <w:p w14:paraId="17E52715" w14:textId="7E45857F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463393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260D33" w:rsidRPr="0060656C" w14:paraId="2A09C40C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FFCC66"/>
          </w:tcPr>
          <w:p w14:paraId="579F04DD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counseled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clients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refrain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from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waiving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260D33" w:rsidRPr="005229C9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rights</w:t>
            </w:r>
            <w:r w:rsidRPr="005229C9">
              <w:rPr>
                <w:color w:val="231F20"/>
                <w:spacing w:val="3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78" w:type="dxa"/>
          </w:tcPr>
          <w:p w14:paraId="7AF87E14" w14:textId="17C1695C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46339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0DD1D1A9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EAF1DD" w:themeFill="accent3" w:themeFillTint="33"/>
          </w:tcPr>
          <w:p w14:paraId="53B2C0B9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adequately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advise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clients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of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consequences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260D33" w:rsidRPr="005229C9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accepting</w:t>
            </w:r>
            <w:r w:rsidRPr="005229C9">
              <w:rPr>
                <w:color w:val="231F20"/>
                <w:spacing w:val="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plea</w:t>
            </w:r>
            <w:r w:rsidRPr="005229C9">
              <w:rPr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or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going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trial,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including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any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collateral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78" w:type="dxa"/>
          </w:tcPr>
          <w:p w14:paraId="6DE1E317" w14:textId="53CD8003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63393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260D33" w:rsidRPr="0060656C" w14:paraId="7CA026BB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4564EDE0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present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mitigating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evidence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and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argument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260D33" w:rsidRPr="005229C9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5229C9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78" w:type="dxa"/>
          </w:tcPr>
          <w:p w14:paraId="328392B6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46339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525A5FE4" w14:textId="77777777" w:rsidTr="00260D33">
        <w:trPr>
          <w:trHeight w:val="548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26FAD33D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address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Presentence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Investigation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Report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(PSI)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260D33" w:rsidRPr="005229C9" w:rsidRDefault="00260D33" w:rsidP="00260D33">
            <w:pPr>
              <w:pStyle w:val="TableParagraph"/>
              <w:spacing w:before="29" w:line="23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Psychosexual</w:t>
            </w:r>
            <w:r w:rsidRPr="005229C9">
              <w:rPr>
                <w:color w:val="231F20"/>
                <w:spacing w:val="1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Evaluation/Risk</w:t>
            </w:r>
            <w:r w:rsidRPr="005229C9">
              <w:rPr>
                <w:color w:val="231F20"/>
                <w:spacing w:val="14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Assessment</w:t>
            </w:r>
            <w:r w:rsidRPr="005229C9">
              <w:rPr>
                <w:color w:val="231F20"/>
                <w:spacing w:val="14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78" w:type="dxa"/>
          </w:tcPr>
          <w:p w14:paraId="6935DC89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46339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6AE31132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01D8BC9" w14:textId="77777777" w:rsidR="00260D33" w:rsidRPr="005229C9" w:rsidRDefault="00260D33" w:rsidP="00260D33">
            <w:pPr>
              <w:pStyle w:val="TableParagraph"/>
              <w:spacing w:before="8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Did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court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require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defendant(s)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reimburse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entity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for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78" w:type="dxa"/>
          </w:tcPr>
          <w:p w14:paraId="388895AE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46339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260D33" w:rsidRPr="0060656C" w14:paraId="37BA8D7D" w14:textId="77777777" w:rsidTr="00260D33">
        <w:trPr>
          <w:trHeight w:val="253"/>
        </w:trPr>
        <w:tc>
          <w:tcPr>
            <w:tcW w:w="10370" w:type="dxa"/>
            <w:gridSpan w:val="4"/>
          </w:tcPr>
          <w:p w14:paraId="241794F7" w14:textId="77777777" w:rsidR="00260D33" w:rsidRPr="005229C9" w:rsidRDefault="00260D33" w:rsidP="00260D33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Overall</w:t>
            </w:r>
            <w:r w:rsidRPr="005229C9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260D33" w:rsidRPr="0060656C" w14:paraId="4A7E7D1C" w14:textId="77777777" w:rsidTr="00260D33">
        <w:trPr>
          <w:trHeight w:val="265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0AD2D260" w14:textId="77777777" w:rsidR="00260D33" w:rsidRPr="005229C9" w:rsidRDefault="00260D33" w:rsidP="00260D33">
            <w:pPr>
              <w:pStyle w:val="TableParagraph"/>
              <w:spacing w:line="246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have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sustainable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78" w:type="dxa"/>
          </w:tcPr>
          <w:p w14:paraId="54DD57CF" w14:textId="77777777" w:rsidR="00260D33" w:rsidRPr="005229C9" w:rsidRDefault="00260D33" w:rsidP="00260D33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463393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60656C" w14:paraId="1AB834BC" w14:textId="77777777" w:rsidTr="00260D33">
        <w:trPr>
          <w:trHeight w:val="536"/>
        </w:trPr>
        <w:tc>
          <w:tcPr>
            <w:tcW w:w="7292" w:type="dxa"/>
            <w:gridSpan w:val="3"/>
            <w:shd w:val="clear" w:color="auto" w:fill="DBE5F1" w:themeFill="accent1" w:themeFillTint="33"/>
          </w:tcPr>
          <w:p w14:paraId="71927E00" w14:textId="77777777" w:rsidR="00260D33" w:rsidRPr="005229C9" w:rsidRDefault="00260D33" w:rsidP="00260D33">
            <w:pPr>
              <w:pStyle w:val="TableParagraph"/>
              <w:spacing w:line="255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Overall,</w:t>
            </w:r>
            <w:r w:rsidRPr="005229C9">
              <w:rPr>
                <w:color w:val="231F20"/>
                <w:spacing w:val="7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does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the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Attorney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appear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to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be</w:t>
            </w:r>
            <w:r w:rsidRPr="005229C9">
              <w:rPr>
                <w:color w:val="231F20"/>
                <w:spacing w:val="1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providing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effective</w:t>
            </w:r>
            <w:r w:rsidRPr="005229C9">
              <w:rPr>
                <w:color w:val="231F20"/>
                <w:spacing w:val="9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representation</w:t>
            </w:r>
            <w:r w:rsidRPr="005229C9">
              <w:rPr>
                <w:color w:val="231F20"/>
                <w:spacing w:val="8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260D33" w:rsidRPr="005229C9" w:rsidRDefault="00260D33" w:rsidP="00260D33">
            <w:pPr>
              <w:pStyle w:val="TableParagraph"/>
              <w:spacing w:before="29" w:line="232" w:lineRule="exact"/>
              <w:rPr>
                <w:sz w:val="21"/>
              </w:rPr>
            </w:pPr>
            <w:r w:rsidRPr="005229C9">
              <w:rPr>
                <w:color w:val="231F20"/>
                <w:sz w:val="21"/>
              </w:rPr>
              <w:t>their</w:t>
            </w:r>
            <w:r w:rsidRPr="005229C9">
              <w:rPr>
                <w:color w:val="231F20"/>
                <w:spacing w:val="5"/>
                <w:sz w:val="21"/>
              </w:rPr>
              <w:t xml:space="preserve"> </w:t>
            </w:r>
            <w:r w:rsidRPr="005229C9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78" w:type="dxa"/>
          </w:tcPr>
          <w:p w14:paraId="2F744643" w14:textId="77777777" w:rsidR="00260D33" w:rsidRPr="005229C9" w:rsidRDefault="00260D33" w:rsidP="00260D33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63393">
              <w:rPr>
                <w:color w:val="231F20"/>
                <w:sz w:val="21"/>
                <w:highlight w:val="yellow"/>
              </w:rPr>
              <w:t>Yes</w:t>
            </w:r>
            <w:r w:rsidRPr="005229C9">
              <w:rPr>
                <w:color w:val="231F20"/>
                <w:spacing w:val="50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No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z w:val="21"/>
              </w:rPr>
              <w:t>/</w:t>
            </w:r>
            <w:r w:rsidRPr="005229C9">
              <w:rPr>
                <w:color w:val="231F20"/>
                <w:spacing w:val="51"/>
                <w:sz w:val="21"/>
              </w:rPr>
              <w:t xml:space="preserve"> </w:t>
            </w:r>
            <w:r w:rsidRPr="005229C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260D33" w:rsidRPr="00320D12" w14:paraId="517279F6" w14:textId="77777777" w:rsidTr="00260D33">
        <w:trPr>
          <w:trHeight w:val="1109"/>
        </w:trPr>
        <w:tc>
          <w:tcPr>
            <w:tcW w:w="10370" w:type="dxa"/>
            <w:gridSpan w:val="4"/>
          </w:tcPr>
          <w:p w14:paraId="466587C6" w14:textId="77777777" w:rsidR="00665048" w:rsidRDefault="00260D33" w:rsidP="00665048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t>Remarks/Recommendations/Notes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z w:val="21"/>
              </w:rPr>
              <w:t>(continued</w:t>
            </w:r>
            <w:r w:rsidRPr="005229C9">
              <w:rPr>
                <w:b/>
                <w:color w:val="231F20"/>
                <w:spacing w:val="16"/>
                <w:sz w:val="21"/>
              </w:rPr>
              <w:t xml:space="preserve"> from</w:t>
            </w:r>
            <w:r w:rsidRPr="005229C9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29C9">
              <w:rPr>
                <w:b/>
                <w:color w:val="231F20"/>
                <w:spacing w:val="-2"/>
                <w:sz w:val="21"/>
              </w:rPr>
              <w:t>reverse side):</w:t>
            </w:r>
          </w:p>
          <w:p w14:paraId="17F857C0" w14:textId="77777777" w:rsidR="00665048" w:rsidRDefault="00665048" w:rsidP="00665048">
            <w:pPr>
              <w:pStyle w:val="TableParagraph"/>
              <w:spacing w:line="250" w:lineRule="exact"/>
              <w:rPr>
                <w:color w:val="231F20"/>
                <w:spacing w:val="-2"/>
              </w:rPr>
            </w:pPr>
          </w:p>
          <w:p w14:paraId="08D2C41E" w14:textId="735ED402" w:rsidR="00260D33" w:rsidRPr="00665048" w:rsidRDefault="00463393" w:rsidP="00665048">
            <w:pPr>
              <w:pStyle w:val="TableParagraph"/>
              <w:spacing w:line="250" w:lineRule="exact"/>
              <w:rPr>
                <w:color w:val="231F20"/>
                <w:spacing w:val="-2"/>
                <w:sz w:val="21"/>
              </w:rPr>
            </w:pPr>
            <w:r w:rsidRPr="00665048">
              <w:rPr>
                <w:color w:val="231F20"/>
                <w:spacing w:val="-2"/>
              </w:rPr>
              <w:t>Ben</w:t>
            </w:r>
            <w:r w:rsidR="00260D33" w:rsidRPr="00665048">
              <w:rPr>
                <w:color w:val="231F20"/>
                <w:spacing w:val="-2"/>
              </w:rPr>
              <w:t xml:space="preserve"> had o</w:t>
            </w:r>
            <w:r w:rsidRPr="00665048">
              <w:rPr>
                <w:color w:val="231F20"/>
                <w:spacing w:val="-2"/>
              </w:rPr>
              <w:t>ne</w:t>
            </w:r>
            <w:r w:rsidR="00260D33" w:rsidRPr="00665048">
              <w:rPr>
                <w:color w:val="231F20"/>
                <w:spacing w:val="-2"/>
              </w:rPr>
              <w:t xml:space="preserve"> </w:t>
            </w:r>
            <w:r w:rsidRPr="00665048">
              <w:rPr>
                <w:color w:val="231F20"/>
                <w:spacing w:val="-2"/>
              </w:rPr>
              <w:t xml:space="preserve">assigned indigent </w:t>
            </w:r>
            <w:r w:rsidR="00260D33" w:rsidRPr="00665048">
              <w:rPr>
                <w:color w:val="231F20"/>
                <w:spacing w:val="-2"/>
              </w:rPr>
              <w:t>client in court today:</w:t>
            </w:r>
          </w:p>
          <w:p w14:paraId="6CB16C10" w14:textId="4D491A59" w:rsidR="00260D33" w:rsidRDefault="00665048" w:rsidP="00665048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  <w:r w:rsidRPr="00665048">
              <w:rPr>
                <w:b w:val="0"/>
                <w:bCs w:val="0"/>
                <w:color w:val="231F20"/>
                <w:spacing w:val="-2"/>
              </w:rPr>
              <w:t>Non-Technical</w:t>
            </w:r>
            <w:r w:rsidR="00260D33" w:rsidRPr="00665048">
              <w:rPr>
                <w:b w:val="0"/>
                <w:bCs w:val="0"/>
                <w:color w:val="231F20"/>
                <w:spacing w:val="-2"/>
              </w:rPr>
              <w:t xml:space="preserve"> Probation Violation Hearing</w:t>
            </w:r>
            <w:r w:rsidR="00260D33" w:rsidRPr="005229C9">
              <w:rPr>
                <w:b w:val="0"/>
                <w:bCs w:val="0"/>
                <w:color w:val="231F20"/>
                <w:spacing w:val="-2"/>
              </w:rPr>
              <w:t xml:space="preserve">. </w:t>
            </w:r>
            <w:r>
              <w:rPr>
                <w:b w:val="0"/>
                <w:bCs w:val="0"/>
                <w:color w:val="231F20"/>
                <w:spacing w:val="-2"/>
              </w:rPr>
              <w:t xml:space="preserve">The client was in custody and present in court. </w:t>
            </w:r>
          </w:p>
          <w:p w14:paraId="734FE375" w14:textId="77777777" w:rsidR="00665048" w:rsidRPr="005229C9" w:rsidRDefault="00665048" w:rsidP="00665048">
            <w:pPr>
              <w:pStyle w:val="BodyText"/>
              <w:rPr>
                <w:b w:val="0"/>
                <w:color w:val="231F20"/>
              </w:rPr>
            </w:pPr>
          </w:p>
          <w:p w14:paraId="0EB54232" w14:textId="6FC17BA5" w:rsidR="00260D33" w:rsidRPr="005229C9" w:rsidRDefault="00260D33" w:rsidP="00260D33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29C9">
              <w:rPr>
                <w:b/>
                <w:color w:val="231F20"/>
                <w:sz w:val="21"/>
              </w:rPr>
              <w:lastRenderedPageBreak/>
              <w:t>Remarks/Recommendations/Notes Continued from Previous Page</w:t>
            </w:r>
            <w:r w:rsidRPr="005229C9">
              <w:rPr>
                <w:b/>
                <w:color w:val="231F20"/>
                <w:spacing w:val="18"/>
                <w:sz w:val="21"/>
              </w:rPr>
              <w:t>:</w:t>
            </w:r>
          </w:p>
          <w:p w14:paraId="259ED3B9" w14:textId="77777777" w:rsidR="00260D33" w:rsidRDefault="00260D33" w:rsidP="00260D33">
            <w:pPr>
              <w:ind w:left="535"/>
            </w:pPr>
          </w:p>
          <w:p w14:paraId="2D4B2084" w14:textId="77777777" w:rsidR="00665048" w:rsidRDefault="00665048" w:rsidP="00665048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  <w:r>
              <w:rPr>
                <w:b w:val="0"/>
                <w:bCs w:val="0"/>
                <w:color w:val="231F20"/>
                <w:spacing w:val="-2"/>
              </w:rPr>
              <w:t xml:space="preserve">The client admitted </w:t>
            </w:r>
            <w:proofErr w:type="gramStart"/>
            <w:r>
              <w:rPr>
                <w:b w:val="0"/>
                <w:bCs w:val="0"/>
                <w:color w:val="231F20"/>
                <w:spacing w:val="-2"/>
              </w:rPr>
              <w:t>all of</w:t>
            </w:r>
            <w:proofErr w:type="gramEnd"/>
            <w:r>
              <w:rPr>
                <w:b w:val="0"/>
                <w:bCs w:val="0"/>
                <w:color w:val="231F20"/>
                <w:spacing w:val="-2"/>
              </w:rPr>
              <w:t xml:space="preserve"> the allegations contained in the Non-Technical Violation Report:</w:t>
            </w:r>
          </w:p>
          <w:p w14:paraId="631D51D4" w14:textId="77777777" w:rsidR="00665048" w:rsidRDefault="00665048" w:rsidP="00665048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contextualSpacing/>
            </w:pPr>
            <w:r>
              <w:t>Reporting</w:t>
            </w:r>
          </w:p>
          <w:p w14:paraId="76D92EEB" w14:textId="77777777" w:rsidR="00665048" w:rsidRDefault="00665048" w:rsidP="00665048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contextualSpacing/>
            </w:pPr>
            <w:r>
              <w:t>Directives and Conduct</w:t>
            </w:r>
          </w:p>
          <w:p w14:paraId="04E9E5B6" w14:textId="77777777" w:rsidR="00665048" w:rsidRDefault="00665048" w:rsidP="00665048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contextualSpacing/>
            </w:pPr>
            <w:r>
              <w:t>Weapons</w:t>
            </w:r>
          </w:p>
          <w:p w14:paraId="1C1E1FCE" w14:textId="77777777" w:rsidR="00665048" w:rsidRDefault="00665048" w:rsidP="00665048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contextualSpacing/>
            </w:pPr>
            <w:r>
              <w:t>Controlled Substances</w:t>
            </w:r>
          </w:p>
          <w:p w14:paraId="4AB6ED83" w14:textId="77777777" w:rsidR="00665048" w:rsidRDefault="00665048" w:rsidP="00665048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contextualSpacing/>
            </w:pPr>
            <w:r>
              <w:t>Recreational Marijuana</w:t>
            </w:r>
          </w:p>
          <w:p w14:paraId="50A4C55E" w14:textId="230D2091" w:rsidR="00665048" w:rsidRDefault="00665048" w:rsidP="00665048">
            <w:pPr>
              <w:pStyle w:val="ListParagraph"/>
              <w:numPr>
                <w:ilvl w:val="0"/>
                <w:numId w:val="8"/>
              </w:numPr>
            </w:pPr>
            <w:r>
              <w:t>Financial Obligations</w:t>
            </w:r>
          </w:p>
          <w:p w14:paraId="52B9B10B" w14:textId="77777777" w:rsidR="00665048" w:rsidRDefault="00665048" w:rsidP="00665048">
            <w:r w:rsidRPr="00AA147E">
              <w:rPr>
                <w:b/>
                <w:bCs/>
              </w:rPr>
              <w:t>State recommendation</w:t>
            </w:r>
            <w:r>
              <w:t xml:space="preserve">: </w:t>
            </w:r>
          </w:p>
          <w:p w14:paraId="5E45FC58" w14:textId="123D3F7F" w:rsidR="00665048" w:rsidRDefault="00665048" w:rsidP="00665048">
            <w:r>
              <w:t xml:space="preserve">This sentence began as a deferred sentence where the defendant had an opportunity to earn his way out of a felony conviction. </w:t>
            </w:r>
          </w:p>
          <w:p w14:paraId="3DEE9AAE" w14:textId="77777777" w:rsidR="00665048" w:rsidRDefault="00665048" w:rsidP="00665048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contextualSpacing/>
            </w:pPr>
            <w:r>
              <w:t xml:space="preserve">Revoke the deferred sentence convicting the defendant of the felony, place the defendant on probation for up to 18 months, and then dishonorable discharge the defendant. </w:t>
            </w:r>
          </w:p>
          <w:p w14:paraId="64034A11" w14:textId="3A740E8C" w:rsidR="00665048" w:rsidRDefault="00665048" w:rsidP="00665048">
            <w:pPr>
              <w:pStyle w:val="ListParagraph"/>
              <w:numPr>
                <w:ilvl w:val="0"/>
                <w:numId w:val="9"/>
              </w:numPr>
            </w:pPr>
            <w:r>
              <w:t>If the court is inclined to reinstate the deferred sentencing, then remove good time credits if reinstated.</w:t>
            </w:r>
          </w:p>
          <w:p w14:paraId="4DE8855E" w14:textId="77777777" w:rsidR="00665048" w:rsidRDefault="00665048" w:rsidP="00665048">
            <w:r w:rsidRPr="00AA147E">
              <w:rPr>
                <w:b/>
                <w:bCs/>
              </w:rPr>
              <w:t>Defense recommendation</w:t>
            </w:r>
            <w:r>
              <w:t xml:space="preserve">: </w:t>
            </w:r>
          </w:p>
          <w:p w14:paraId="1B635CA1" w14:textId="10FCD0F2" w:rsidR="00665048" w:rsidRDefault="00665048" w:rsidP="00665048">
            <w:proofErr w:type="gramStart"/>
            <w:r>
              <w:t>Client</w:t>
            </w:r>
            <w:proofErr w:type="gramEnd"/>
            <w:r>
              <w:t xml:space="preserve"> is seeking reinstatement of the deferred sentence with a new condition of participation and successful completion of the Drug Court program.  </w:t>
            </w:r>
          </w:p>
          <w:p w14:paraId="6E411EFF" w14:textId="73DD8B3A" w:rsidR="00665048" w:rsidRDefault="00665048" w:rsidP="00665048">
            <w:r w:rsidRPr="00AA147E">
              <w:rPr>
                <w:b/>
                <w:bCs/>
              </w:rPr>
              <w:t>Defendant Statement</w:t>
            </w:r>
            <w:r>
              <w:t>: Client wants the Drug Court program and reinstatement of the deferred sentence. If dishonorably discharged with a felony conviction, then client intends to move to another State and never return.</w:t>
            </w:r>
          </w:p>
          <w:p w14:paraId="09564862" w14:textId="77777777" w:rsidR="00665048" w:rsidRDefault="00665048" w:rsidP="00665048">
            <w:pPr>
              <w:rPr>
                <w:b/>
                <w:bCs/>
              </w:rPr>
            </w:pPr>
            <w:r w:rsidRPr="00665048">
              <w:rPr>
                <w:b/>
                <w:bCs/>
              </w:rPr>
              <w:t>Court</w:t>
            </w:r>
            <w:r>
              <w:rPr>
                <w:b/>
                <w:bCs/>
              </w:rPr>
              <w:t>:</w:t>
            </w:r>
          </w:p>
          <w:p w14:paraId="1A01793C" w14:textId="47B544FB" w:rsidR="00665048" w:rsidRDefault="00665048" w:rsidP="00665048">
            <w:r w:rsidRPr="00665048">
              <w:t>Judge Mason stated that he</w:t>
            </w:r>
            <w:r>
              <w:t xml:space="preserve"> is inclined to Reinstate on deferred sentence with an additional requirement of Drug Court. However, they need to confirm that the Drug Court will accept the client.</w:t>
            </w:r>
            <w:r>
              <w:t xml:space="preserve"> The Court set a Disposition hearing for 3/3/2025 at 1:30 p.m.</w:t>
            </w:r>
          </w:p>
          <w:p w14:paraId="5409B414" w14:textId="20F5FB81" w:rsidR="00665048" w:rsidRPr="00665048" w:rsidRDefault="00665048" w:rsidP="00665048">
            <w:pPr>
              <w:rPr>
                <w:b/>
                <w:bCs/>
              </w:rPr>
            </w:pPr>
            <w:r w:rsidRPr="00665048">
              <w:rPr>
                <w:b/>
                <w:bCs/>
              </w:rPr>
              <w:t>Custody Status:</w:t>
            </w:r>
          </w:p>
          <w:p w14:paraId="7B126B99" w14:textId="52CE315B" w:rsidR="00665048" w:rsidRDefault="00665048" w:rsidP="00665048">
            <w:r>
              <w:t>Not addressed.</w:t>
            </w:r>
          </w:p>
          <w:p w14:paraId="76A11039" w14:textId="77777777" w:rsidR="00665048" w:rsidRPr="005229C9" w:rsidRDefault="00665048" w:rsidP="00665048"/>
          <w:p w14:paraId="334FBFCD" w14:textId="77777777" w:rsidR="00665048" w:rsidRDefault="00665048" w:rsidP="00260D33">
            <w:pPr>
              <w:pStyle w:val="BodyText"/>
              <w:rPr>
                <w:color w:val="231F20"/>
                <w:spacing w:val="-2"/>
              </w:rPr>
            </w:pPr>
          </w:p>
          <w:p w14:paraId="18E8D5E3" w14:textId="77777777" w:rsidR="00665048" w:rsidRDefault="00665048" w:rsidP="00260D33">
            <w:pPr>
              <w:pStyle w:val="BodyText"/>
              <w:rPr>
                <w:color w:val="231F20"/>
                <w:spacing w:val="-2"/>
              </w:rPr>
            </w:pPr>
          </w:p>
          <w:p w14:paraId="18B7A8E9" w14:textId="157DDF36" w:rsidR="00260D33" w:rsidRPr="005229C9" w:rsidRDefault="00463393" w:rsidP="00665048">
            <w:pPr>
              <w:pStyle w:val="BodyText"/>
              <w:ind w:left="0"/>
              <w:rPr>
                <w:b w:val="0"/>
                <w:bCs w:val="0"/>
                <w:color w:val="231F20"/>
                <w:spacing w:val="-2"/>
              </w:rPr>
            </w:pPr>
            <w:r w:rsidRPr="00463393">
              <w:rPr>
                <w:color w:val="231F20"/>
                <w:spacing w:val="-2"/>
              </w:rPr>
              <w:t>Note</w:t>
            </w:r>
            <w:r>
              <w:rPr>
                <w:b w:val="0"/>
                <w:bCs w:val="0"/>
                <w:color w:val="231F20"/>
                <w:spacing w:val="-2"/>
              </w:rPr>
              <w:t xml:space="preserve">: Ben also had a retained case on calendar today. His retained case is mentioned in the Observation Report for indigent defense attorney Krishna Prasad. That client had two separate cases: Ben was retained for one case and Krishna was appointed in the other case. </w:t>
            </w:r>
          </w:p>
          <w:p w14:paraId="6323EF68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5923750A" w14:textId="2E1B9620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7D2F33B2" w14:textId="77777777" w:rsidR="00260D33" w:rsidRPr="005229C9" w:rsidRDefault="00260D33" w:rsidP="00260D33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</w:p>
          <w:p w14:paraId="27CBD336" w14:textId="74F60ED1" w:rsidR="00260D33" w:rsidRPr="005229C9" w:rsidRDefault="00260D33" w:rsidP="00260D33">
            <w:pPr>
              <w:pStyle w:val="BodyText"/>
              <w:rPr>
                <w:bCs w:val="0"/>
              </w:rPr>
            </w:pPr>
          </w:p>
        </w:tc>
      </w:tr>
    </w:tbl>
    <w:p w14:paraId="19B5483D" w14:textId="399F6F6E" w:rsidR="00F00E0C" w:rsidRPr="00320D12" w:rsidRDefault="00F00E0C">
      <w:pPr>
        <w:pStyle w:val="BodyText"/>
        <w:rPr>
          <w:color w:val="231F20"/>
          <w:spacing w:val="-2"/>
        </w:rPr>
      </w:pPr>
    </w:p>
    <w:sectPr w:rsidR="00F00E0C" w:rsidRPr="00320D1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751E8"/>
    <w:multiLevelType w:val="hybridMultilevel"/>
    <w:tmpl w:val="6D4A0EA2"/>
    <w:lvl w:ilvl="0" w:tplc="08CAA410">
      <w:start w:val="6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E59F2"/>
    <w:multiLevelType w:val="hybridMultilevel"/>
    <w:tmpl w:val="2B6C4128"/>
    <w:lvl w:ilvl="0" w:tplc="FF1441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1C4108"/>
    <w:multiLevelType w:val="hybridMultilevel"/>
    <w:tmpl w:val="974EFEA8"/>
    <w:lvl w:ilvl="0" w:tplc="41F6D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AF51DD"/>
    <w:multiLevelType w:val="hybridMultilevel"/>
    <w:tmpl w:val="D524853A"/>
    <w:lvl w:ilvl="0" w:tplc="48066AF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5" w15:restartNumberingAfterBreak="0">
    <w:nsid w:val="58E20CFC"/>
    <w:multiLevelType w:val="hybridMultilevel"/>
    <w:tmpl w:val="4D08A646"/>
    <w:lvl w:ilvl="0" w:tplc="817022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F3B33"/>
    <w:multiLevelType w:val="hybridMultilevel"/>
    <w:tmpl w:val="6DB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D02E4"/>
    <w:multiLevelType w:val="hybridMultilevel"/>
    <w:tmpl w:val="CD5A93D2"/>
    <w:lvl w:ilvl="0" w:tplc="2D3839C6">
      <w:start w:val="1"/>
      <w:numFmt w:val="bullet"/>
      <w:lvlText w:val=""/>
      <w:lvlJc w:val="left"/>
      <w:pPr>
        <w:ind w:left="8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72770EA4"/>
    <w:multiLevelType w:val="hybridMultilevel"/>
    <w:tmpl w:val="1144AE56"/>
    <w:lvl w:ilvl="0" w:tplc="24505BBE">
      <w:start w:val="1"/>
      <w:numFmt w:val="decimal"/>
      <w:lvlText w:val="%1."/>
      <w:lvlJc w:val="left"/>
      <w:pPr>
        <w:ind w:left="535" w:hanging="360"/>
      </w:pPr>
      <w:rPr>
        <w:rFonts w:hint="default"/>
        <w:b w:val="0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578319324">
    <w:abstractNumId w:val="4"/>
  </w:num>
  <w:num w:numId="2" w16cid:durableId="671107611">
    <w:abstractNumId w:val="2"/>
  </w:num>
  <w:num w:numId="3" w16cid:durableId="908267193">
    <w:abstractNumId w:val="8"/>
  </w:num>
  <w:num w:numId="4" w16cid:durableId="2069066387">
    <w:abstractNumId w:val="5"/>
  </w:num>
  <w:num w:numId="5" w16cid:durableId="1176847504">
    <w:abstractNumId w:val="1"/>
  </w:num>
  <w:num w:numId="6" w16cid:durableId="1468932025">
    <w:abstractNumId w:val="3"/>
  </w:num>
  <w:num w:numId="7" w16cid:durableId="448742528">
    <w:abstractNumId w:val="7"/>
  </w:num>
  <w:num w:numId="8" w16cid:durableId="806239927">
    <w:abstractNumId w:val="6"/>
  </w:num>
  <w:num w:numId="9" w16cid:durableId="584463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737E"/>
    <w:rsid w:val="0008100F"/>
    <w:rsid w:val="000B1FDF"/>
    <w:rsid w:val="0010521A"/>
    <w:rsid w:val="001305EC"/>
    <w:rsid w:val="00146AF0"/>
    <w:rsid w:val="001628B1"/>
    <w:rsid w:val="00162F2C"/>
    <w:rsid w:val="00167EE2"/>
    <w:rsid w:val="001A00F0"/>
    <w:rsid w:val="001B3EED"/>
    <w:rsid w:val="001D615B"/>
    <w:rsid w:val="001D79DE"/>
    <w:rsid w:val="00210F9D"/>
    <w:rsid w:val="0022184F"/>
    <w:rsid w:val="00230146"/>
    <w:rsid w:val="002358A4"/>
    <w:rsid w:val="00245638"/>
    <w:rsid w:val="0025077E"/>
    <w:rsid w:val="00256D6C"/>
    <w:rsid w:val="002608B8"/>
    <w:rsid w:val="00260D33"/>
    <w:rsid w:val="002F30D2"/>
    <w:rsid w:val="0032002B"/>
    <w:rsid w:val="00320D12"/>
    <w:rsid w:val="003737E1"/>
    <w:rsid w:val="003B010C"/>
    <w:rsid w:val="003B0864"/>
    <w:rsid w:val="003B5049"/>
    <w:rsid w:val="003E1670"/>
    <w:rsid w:val="00431078"/>
    <w:rsid w:val="00447B2E"/>
    <w:rsid w:val="0045081F"/>
    <w:rsid w:val="00463393"/>
    <w:rsid w:val="00481987"/>
    <w:rsid w:val="0049612C"/>
    <w:rsid w:val="004B241C"/>
    <w:rsid w:val="005229C9"/>
    <w:rsid w:val="005378A5"/>
    <w:rsid w:val="0054258F"/>
    <w:rsid w:val="00552654"/>
    <w:rsid w:val="00566083"/>
    <w:rsid w:val="005E7B10"/>
    <w:rsid w:val="00602BA9"/>
    <w:rsid w:val="00604E6C"/>
    <w:rsid w:val="0060656C"/>
    <w:rsid w:val="00614CD6"/>
    <w:rsid w:val="00625916"/>
    <w:rsid w:val="006625DD"/>
    <w:rsid w:val="00665048"/>
    <w:rsid w:val="0066578A"/>
    <w:rsid w:val="00695340"/>
    <w:rsid w:val="006B5F2C"/>
    <w:rsid w:val="006D30BC"/>
    <w:rsid w:val="006E2D5C"/>
    <w:rsid w:val="006F7345"/>
    <w:rsid w:val="007015BA"/>
    <w:rsid w:val="00723B2F"/>
    <w:rsid w:val="00792811"/>
    <w:rsid w:val="007B75CA"/>
    <w:rsid w:val="007F0B66"/>
    <w:rsid w:val="007F6CC1"/>
    <w:rsid w:val="008061ED"/>
    <w:rsid w:val="00813372"/>
    <w:rsid w:val="00825B87"/>
    <w:rsid w:val="00830A21"/>
    <w:rsid w:val="008524A4"/>
    <w:rsid w:val="00867B0F"/>
    <w:rsid w:val="0089169D"/>
    <w:rsid w:val="008B270D"/>
    <w:rsid w:val="00930EA9"/>
    <w:rsid w:val="009438E1"/>
    <w:rsid w:val="00947D18"/>
    <w:rsid w:val="009569DD"/>
    <w:rsid w:val="00980DC6"/>
    <w:rsid w:val="009928D6"/>
    <w:rsid w:val="009B040E"/>
    <w:rsid w:val="009B0ECA"/>
    <w:rsid w:val="009B6950"/>
    <w:rsid w:val="009D122A"/>
    <w:rsid w:val="009F12B3"/>
    <w:rsid w:val="00A60E66"/>
    <w:rsid w:val="00A728BC"/>
    <w:rsid w:val="00A73DAE"/>
    <w:rsid w:val="00A8637F"/>
    <w:rsid w:val="00A978E4"/>
    <w:rsid w:val="00AB19B5"/>
    <w:rsid w:val="00AD09A8"/>
    <w:rsid w:val="00AD3938"/>
    <w:rsid w:val="00B6197C"/>
    <w:rsid w:val="00B6420B"/>
    <w:rsid w:val="00BA5474"/>
    <w:rsid w:val="00BA6939"/>
    <w:rsid w:val="00BB379E"/>
    <w:rsid w:val="00BD72D8"/>
    <w:rsid w:val="00BF14D8"/>
    <w:rsid w:val="00C47475"/>
    <w:rsid w:val="00C919DC"/>
    <w:rsid w:val="00C9265C"/>
    <w:rsid w:val="00CB3BA5"/>
    <w:rsid w:val="00CC14E0"/>
    <w:rsid w:val="00CD503D"/>
    <w:rsid w:val="00CD53C5"/>
    <w:rsid w:val="00CF0219"/>
    <w:rsid w:val="00D17299"/>
    <w:rsid w:val="00D248C4"/>
    <w:rsid w:val="00D42E44"/>
    <w:rsid w:val="00D7404F"/>
    <w:rsid w:val="00D82F64"/>
    <w:rsid w:val="00DA15AB"/>
    <w:rsid w:val="00DA2B60"/>
    <w:rsid w:val="00DB6810"/>
    <w:rsid w:val="00DC0DB2"/>
    <w:rsid w:val="00DC3DE3"/>
    <w:rsid w:val="00DD5F67"/>
    <w:rsid w:val="00E015DB"/>
    <w:rsid w:val="00E046A6"/>
    <w:rsid w:val="00E27832"/>
    <w:rsid w:val="00E57505"/>
    <w:rsid w:val="00E8581F"/>
    <w:rsid w:val="00EB2AEF"/>
    <w:rsid w:val="00EB63A2"/>
    <w:rsid w:val="00ED3C87"/>
    <w:rsid w:val="00EF2DDF"/>
    <w:rsid w:val="00EF4ADD"/>
    <w:rsid w:val="00F00E0C"/>
    <w:rsid w:val="00F0539A"/>
    <w:rsid w:val="00F265CF"/>
    <w:rsid w:val="00F33D21"/>
    <w:rsid w:val="00F36D7D"/>
    <w:rsid w:val="00F80F1A"/>
    <w:rsid w:val="00F93549"/>
    <w:rsid w:val="00FC4FFA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81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table" w:styleId="TableGrid">
    <w:name w:val="Table Grid"/>
    <w:basedOn w:val="TableNormal"/>
    <w:uiPriority w:val="39"/>
    <w:rsid w:val="00E85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581F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dcterms:created xsi:type="dcterms:W3CDTF">2025-04-17T16:25:00Z</dcterms:created>
  <dcterms:modified xsi:type="dcterms:W3CDTF">2025-04-17T19:13:00Z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